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EA" w:rsidRPr="000F0F67" w:rsidRDefault="00865C8A" w:rsidP="005017EA">
      <w:pPr>
        <w:rPr>
          <w:rFonts w:asciiTheme="majorHAnsi" w:hAnsiTheme="majorHAnsi"/>
        </w:rPr>
      </w:pPr>
      <w:r w:rsidRPr="000F0F67">
        <w:rPr>
          <w:rFonts w:asciiTheme="majorHAnsi" w:hAnsiTheme="majorHAnsi"/>
        </w:rPr>
        <w:t xml:space="preserve"> </w:t>
      </w:r>
    </w:p>
    <w:tbl>
      <w:tblPr>
        <w:tblStyle w:val="Tabel-Gitter"/>
        <w:tblW w:w="14428" w:type="dxa"/>
        <w:tblLook w:val="04A0" w:firstRow="1" w:lastRow="0" w:firstColumn="1" w:lastColumn="0" w:noHBand="0" w:noVBand="1"/>
      </w:tblPr>
      <w:tblGrid>
        <w:gridCol w:w="604"/>
        <w:gridCol w:w="935"/>
        <w:gridCol w:w="3387"/>
        <w:gridCol w:w="2110"/>
        <w:gridCol w:w="7392"/>
      </w:tblGrid>
      <w:tr w:rsidR="005017EA" w:rsidRPr="000F0F67" w:rsidTr="00A5007B">
        <w:tc>
          <w:tcPr>
            <w:tcW w:w="14428" w:type="dxa"/>
            <w:gridSpan w:val="5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MODUL 1: DKTE i special</w:t>
            </w:r>
            <w:r w:rsidR="00317F30">
              <w:rPr>
                <w:rFonts w:asciiTheme="majorHAnsi" w:hAnsiTheme="majorHAnsi"/>
                <w:b/>
              </w:rPr>
              <w:t xml:space="preserve">, social </w:t>
            </w:r>
            <w:r w:rsidRPr="000F0F67">
              <w:rPr>
                <w:rFonts w:asciiTheme="majorHAnsi" w:hAnsiTheme="majorHAnsi"/>
                <w:b/>
              </w:rPr>
              <w:t>- og omsorgstandpleje</w:t>
            </w:r>
            <w:r w:rsidR="00317F3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CC39B3" w:rsidRPr="000F0F67" w:rsidTr="0070435C">
        <w:tc>
          <w:tcPr>
            <w:tcW w:w="534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Dag</w:t>
            </w:r>
          </w:p>
        </w:tc>
        <w:tc>
          <w:tcPr>
            <w:tcW w:w="937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Tid</w:t>
            </w:r>
          </w:p>
        </w:tc>
        <w:tc>
          <w:tcPr>
            <w:tcW w:w="3390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Emne</w:t>
            </w:r>
          </w:p>
        </w:tc>
        <w:tc>
          <w:tcPr>
            <w:tcW w:w="2116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Oplægsholder</w:t>
            </w:r>
          </w:p>
        </w:tc>
        <w:tc>
          <w:tcPr>
            <w:tcW w:w="7451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Kundskabsmål</w:t>
            </w:r>
          </w:p>
        </w:tc>
      </w:tr>
      <w:tr w:rsidR="0062440B" w:rsidRPr="000F0F67" w:rsidTr="0070435C">
        <w:tc>
          <w:tcPr>
            <w:tcW w:w="534" w:type="dxa"/>
          </w:tcPr>
          <w:p w:rsidR="0062440B" w:rsidRPr="000F0F67" w:rsidRDefault="0062440B" w:rsidP="00865C8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37" w:type="dxa"/>
          </w:tcPr>
          <w:p w:rsidR="0062440B" w:rsidRPr="0062440B" w:rsidRDefault="0062440B" w:rsidP="00865C8A">
            <w:pPr>
              <w:rPr>
                <w:rFonts w:asciiTheme="majorHAnsi" w:hAnsiTheme="majorHAnsi"/>
              </w:rPr>
            </w:pPr>
            <w:r w:rsidRPr="0062440B">
              <w:rPr>
                <w:rFonts w:asciiTheme="majorHAnsi" w:hAnsiTheme="majorHAnsi"/>
              </w:rPr>
              <w:t>09.00</w:t>
            </w:r>
          </w:p>
        </w:tc>
        <w:tc>
          <w:tcPr>
            <w:tcW w:w="3390" w:type="dxa"/>
          </w:tcPr>
          <w:p w:rsidR="0062440B" w:rsidRPr="0062440B" w:rsidRDefault="0062440B" w:rsidP="00865C8A">
            <w:pPr>
              <w:rPr>
                <w:rFonts w:asciiTheme="majorHAnsi" w:hAnsiTheme="majorHAnsi"/>
              </w:rPr>
            </w:pPr>
            <w:r w:rsidRPr="0062440B">
              <w:rPr>
                <w:rFonts w:asciiTheme="majorHAnsi" w:hAnsiTheme="majorHAnsi"/>
              </w:rPr>
              <w:t>Velkomst</w:t>
            </w:r>
          </w:p>
        </w:tc>
        <w:tc>
          <w:tcPr>
            <w:tcW w:w="2116" w:type="dxa"/>
          </w:tcPr>
          <w:p w:rsidR="0062440B" w:rsidRPr="0062440B" w:rsidRDefault="0062440B" w:rsidP="00865C8A">
            <w:pPr>
              <w:rPr>
                <w:rFonts w:asciiTheme="majorHAnsi" w:hAnsiTheme="majorHAnsi"/>
              </w:rPr>
            </w:pPr>
            <w:r w:rsidRPr="0062440B">
              <w:rPr>
                <w:rFonts w:asciiTheme="majorHAnsi" w:hAnsiTheme="majorHAnsi"/>
              </w:rPr>
              <w:t>Katja Kirk, kursusleder</w:t>
            </w:r>
          </w:p>
        </w:tc>
        <w:tc>
          <w:tcPr>
            <w:tcW w:w="7451" w:type="dxa"/>
          </w:tcPr>
          <w:p w:rsidR="0062440B" w:rsidRPr="000F0F67" w:rsidRDefault="0062440B" w:rsidP="00865C8A">
            <w:pPr>
              <w:rPr>
                <w:rFonts w:asciiTheme="majorHAnsi" w:hAnsiTheme="majorHAnsi"/>
                <w:b/>
              </w:rPr>
            </w:pPr>
          </w:p>
        </w:tc>
      </w:tr>
      <w:tr w:rsidR="00944423" w:rsidRPr="000F0F67" w:rsidTr="0070435C">
        <w:tc>
          <w:tcPr>
            <w:tcW w:w="534" w:type="dxa"/>
          </w:tcPr>
          <w:p w:rsidR="00944423" w:rsidRPr="000F0F67" w:rsidRDefault="00944423" w:rsidP="00865C8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37" w:type="dxa"/>
          </w:tcPr>
          <w:p w:rsidR="00944423" w:rsidRPr="0062440B" w:rsidRDefault="00944423" w:rsidP="00865C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09.10.-09.30</w:t>
            </w:r>
          </w:p>
        </w:tc>
        <w:tc>
          <w:tcPr>
            <w:tcW w:w="3390" w:type="dxa"/>
          </w:tcPr>
          <w:p w:rsidR="00944423" w:rsidRPr="0062440B" w:rsidRDefault="00944423" w:rsidP="00865C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Lokalet rundt – hvorfor har jeg tilmeldt mig </w:t>
            </w:r>
          </w:p>
        </w:tc>
        <w:tc>
          <w:tcPr>
            <w:tcW w:w="2116" w:type="dxa"/>
          </w:tcPr>
          <w:p w:rsidR="00944423" w:rsidRPr="0062440B" w:rsidRDefault="00944423" w:rsidP="00865C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Alle deltagere </w:t>
            </w:r>
          </w:p>
        </w:tc>
        <w:tc>
          <w:tcPr>
            <w:tcW w:w="7451" w:type="dxa"/>
          </w:tcPr>
          <w:p w:rsidR="00944423" w:rsidRPr="000F0F67" w:rsidRDefault="00944423" w:rsidP="00865C8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Ryste sammen og social time </w:t>
            </w:r>
          </w:p>
        </w:tc>
      </w:tr>
      <w:tr w:rsidR="00CC39B3" w:rsidRPr="000F0F67" w:rsidTr="0070435C">
        <w:tc>
          <w:tcPr>
            <w:tcW w:w="534" w:type="dxa"/>
            <w:vMerge w:val="restart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</w:t>
            </w:r>
          </w:p>
        </w:tc>
        <w:tc>
          <w:tcPr>
            <w:tcW w:w="937" w:type="dxa"/>
          </w:tcPr>
          <w:p w:rsidR="005017EA" w:rsidRDefault="00944423" w:rsidP="007043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09.30</w:t>
            </w:r>
          </w:p>
          <w:p w:rsidR="00944423" w:rsidRPr="000F0F67" w:rsidRDefault="00944423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90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Introduktion til specia</w:t>
            </w:r>
            <w:r w:rsidR="00944423">
              <w:rPr>
                <w:rFonts w:asciiTheme="majorHAnsi" w:hAnsiTheme="majorHAnsi"/>
              </w:rPr>
              <w:t>l, social</w:t>
            </w:r>
            <w:r w:rsidRPr="000F0F67">
              <w:rPr>
                <w:rFonts w:asciiTheme="majorHAnsi" w:hAnsiTheme="majorHAnsi"/>
              </w:rPr>
              <w:t>- og omsorgstandplejen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Sundhedslovens regler for visitation, tandplejens indhold m.v.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 økonomiske vilk</w:t>
            </w:r>
            <w:r w:rsidR="00944423">
              <w:rPr>
                <w:rFonts w:asciiTheme="majorHAnsi" w:hAnsiTheme="majorHAnsi"/>
              </w:rPr>
              <w:t>år for tandbehandling i Special, social -</w:t>
            </w:r>
            <w:r w:rsidRPr="000F0F67">
              <w:rPr>
                <w:rFonts w:asciiTheme="majorHAnsi" w:hAnsiTheme="majorHAnsi"/>
              </w:rPr>
              <w:t xml:space="preserve"> og omsorgstandplejen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Kommunernes organisation af special</w:t>
            </w:r>
            <w:r w:rsidR="00944423">
              <w:rPr>
                <w:rFonts w:asciiTheme="majorHAnsi" w:hAnsiTheme="majorHAnsi"/>
              </w:rPr>
              <w:t xml:space="preserve">, social </w:t>
            </w:r>
            <w:r w:rsidRPr="000F0F67">
              <w:rPr>
                <w:rFonts w:asciiTheme="majorHAnsi" w:hAnsiTheme="majorHAnsi"/>
              </w:rPr>
              <w:t>- og omsorgstandplejetilbuddet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Passer reglerne til virkeligheden?</w:t>
            </w:r>
          </w:p>
        </w:tc>
        <w:tc>
          <w:tcPr>
            <w:tcW w:w="2116" w:type="dxa"/>
          </w:tcPr>
          <w:p w:rsidR="00944423" w:rsidRPr="00B04524" w:rsidRDefault="00944423" w:rsidP="00944423">
            <w:pPr>
              <w:rPr>
                <w:rFonts w:asciiTheme="majorHAnsi" w:hAnsiTheme="majorHAnsi"/>
              </w:rPr>
            </w:pPr>
          </w:p>
          <w:p w:rsidR="00944423" w:rsidRPr="00B04524" w:rsidRDefault="00944423" w:rsidP="00944423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5017EA" w:rsidRPr="00B04524" w:rsidRDefault="005017EA" w:rsidP="00865C8A">
            <w:pPr>
              <w:rPr>
                <w:rFonts w:asciiTheme="majorHAnsi" w:hAnsiTheme="majorHAnsi"/>
              </w:rPr>
            </w:pPr>
            <w:r w:rsidRPr="00B04524">
              <w:rPr>
                <w:rFonts w:asciiTheme="majorHAnsi" w:hAnsiTheme="majorHAnsi"/>
              </w:rPr>
              <w:t>Deltagerne gives et overblik over det gældende regelsæt (sundhedslovens bestemmelser) samt et overblik over kommunernes organisation af opgaveløsningen. Endelig får deltagerne en vurdering af om reglerne passer til virkeligheden.</w:t>
            </w:r>
          </w:p>
        </w:tc>
      </w:tr>
      <w:tr w:rsidR="00CC39B3" w:rsidRPr="000F0F67" w:rsidTr="0070435C">
        <w:tc>
          <w:tcPr>
            <w:tcW w:w="534" w:type="dxa"/>
            <w:vMerge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5017EA" w:rsidRPr="000F0F67" w:rsidRDefault="005017EA" w:rsidP="0070435C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11.00 </w:t>
            </w:r>
          </w:p>
        </w:tc>
        <w:tc>
          <w:tcPr>
            <w:tcW w:w="3390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Psykiatriens opbygning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Myndighedernes ansvar og pligter samt fordelingen mellem myndigheder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Borgerens rettigheder herunder i forhold til dagpenge / pension og særlige tilskud</w:t>
            </w:r>
          </w:p>
        </w:tc>
        <w:tc>
          <w:tcPr>
            <w:tcW w:w="2116" w:type="dxa"/>
          </w:tcPr>
          <w:p w:rsidR="008476D5" w:rsidRPr="00B04524" w:rsidRDefault="008476D5" w:rsidP="00342B05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5017EA" w:rsidRPr="00B04524" w:rsidRDefault="005017EA" w:rsidP="00865C8A">
            <w:pPr>
              <w:rPr>
                <w:rFonts w:asciiTheme="majorHAnsi" w:hAnsiTheme="majorHAnsi"/>
              </w:rPr>
            </w:pPr>
            <w:r w:rsidRPr="00B04524">
              <w:rPr>
                <w:rFonts w:asciiTheme="majorHAnsi" w:hAnsiTheme="majorHAnsi"/>
              </w:rPr>
              <w:t>Deltagerne gives et overblik over det gældende regelsæt samt hvordan systemet er opbygget og fungerer i relation til myndighedspligter og borgerrettigheder i forhold til borgere med psykiske sygdomme</w:t>
            </w:r>
            <w:r w:rsidR="00B04524" w:rsidRPr="00B04524">
              <w:rPr>
                <w:rFonts w:asciiTheme="majorHAnsi" w:hAnsiTheme="majorHAnsi"/>
              </w:rPr>
              <w:t>.</w:t>
            </w:r>
          </w:p>
          <w:p w:rsidR="00B04524" w:rsidRPr="00B04524" w:rsidRDefault="00B04524" w:rsidP="00865C8A">
            <w:pPr>
              <w:rPr>
                <w:rFonts w:asciiTheme="majorHAnsi" w:hAnsiTheme="majorHAnsi"/>
                <w:color w:val="000000" w:themeColor="text1"/>
              </w:rPr>
            </w:pPr>
            <w:r w:rsidRPr="00B04524">
              <w:rPr>
                <w:rFonts w:asciiTheme="majorHAnsi" w:hAnsiTheme="majorHAnsi"/>
                <w:color w:val="000000" w:themeColor="text1"/>
              </w:rPr>
              <w:t>Kursusgiver deler sin viden om sammenhæng mellem psykiatri og social udsathed.</w:t>
            </w:r>
          </w:p>
        </w:tc>
      </w:tr>
      <w:tr w:rsidR="00CC39B3" w:rsidRPr="000F0F67" w:rsidTr="0070435C">
        <w:tc>
          <w:tcPr>
            <w:tcW w:w="534" w:type="dxa"/>
            <w:vMerge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13.00</w:t>
            </w:r>
          </w:p>
        </w:tc>
        <w:tc>
          <w:tcPr>
            <w:tcW w:w="3390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16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</w:tc>
      </w:tr>
      <w:tr w:rsidR="00CC39B3" w:rsidRPr="000F0F67" w:rsidTr="0070435C">
        <w:tc>
          <w:tcPr>
            <w:tcW w:w="534" w:type="dxa"/>
            <w:vMerge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14.00</w:t>
            </w:r>
          </w:p>
        </w:tc>
        <w:tc>
          <w:tcPr>
            <w:tcW w:w="3390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Omsorgssystemet for fun</w:t>
            </w:r>
            <w:r w:rsidR="00CA64DE" w:rsidRPr="000F0F67">
              <w:rPr>
                <w:rFonts w:asciiTheme="majorHAnsi" w:hAnsiTheme="majorHAnsi"/>
              </w:rPr>
              <w:t>k</w:t>
            </w:r>
            <w:r w:rsidRPr="000F0F67">
              <w:rPr>
                <w:rFonts w:asciiTheme="majorHAnsi" w:hAnsiTheme="majorHAnsi"/>
              </w:rPr>
              <w:t>tions- og udviklingshæmmede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lastRenderedPageBreak/>
              <w:t>Myndighedernes ansvar og pligter samt fordelingen mellem myndigheder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Borgerens rettigheder herunder i forhold til dagpenge / pension og særlige tilskud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 væsentligste udfordringer i de funktions- og udviklingshæmmedes hverdag</w:t>
            </w:r>
          </w:p>
        </w:tc>
        <w:tc>
          <w:tcPr>
            <w:tcW w:w="2116" w:type="dxa"/>
          </w:tcPr>
          <w:p w:rsidR="005017EA" w:rsidRPr="000F0F67" w:rsidRDefault="005017EA" w:rsidP="005017EA">
            <w:pPr>
              <w:rPr>
                <w:rFonts w:asciiTheme="majorHAnsi" w:hAnsiTheme="majorHAnsi"/>
              </w:rPr>
            </w:pPr>
          </w:p>
          <w:p w:rsidR="008476D5" w:rsidRPr="000F0F67" w:rsidRDefault="008476D5" w:rsidP="005017E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Deltagerne gives et overblik over det gældende regelsæt samt hvordan systemet er opbygget og fungerer i relation til myndighedspligter og </w:t>
            </w:r>
            <w:r w:rsidRPr="000F0F67">
              <w:rPr>
                <w:rFonts w:asciiTheme="majorHAnsi" w:hAnsiTheme="majorHAnsi"/>
              </w:rPr>
              <w:lastRenderedPageBreak/>
              <w:t>borgerrettigheder i forhold til borgere med funktions- eller udviklingshæmning samt et overblik over de væsentligste udfordringer</w:t>
            </w:r>
          </w:p>
        </w:tc>
      </w:tr>
      <w:tr w:rsidR="00CC39B3" w:rsidRPr="000F0F67" w:rsidTr="0070435C">
        <w:tc>
          <w:tcPr>
            <w:tcW w:w="534" w:type="dxa"/>
            <w:vMerge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15.00</w:t>
            </w:r>
            <w:r w:rsidR="006B1AFA">
              <w:rPr>
                <w:rFonts w:asciiTheme="majorHAnsi" w:hAnsiTheme="majorHAnsi"/>
              </w:rPr>
              <w:t>-16.00</w:t>
            </w:r>
          </w:p>
        </w:tc>
        <w:tc>
          <w:tcPr>
            <w:tcW w:w="3390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Omsorgssystemet for ældre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Myndighedernes ansvar og pligter samt fordelingen mellem myndigheder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Borgerens rettigheder herunder i forhold til pension og særlige tilskud</w:t>
            </w:r>
            <w:r w:rsidR="003773D4" w:rsidRPr="000F0F67">
              <w:rPr>
                <w:rFonts w:asciiTheme="majorHAnsi" w:hAnsiTheme="majorHAnsi"/>
              </w:rPr>
              <w:t xml:space="preserve"> og hjælpeforanstaltninger. </w:t>
            </w:r>
          </w:p>
          <w:p w:rsidR="005017EA" w:rsidRPr="000F0F67" w:rsidRDefault="005017EA" w:rsidP="00865C8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De væsentligste udfordringer i de ældres hverdag </w:t>
            </w:r>
          </w:p>
        </w:tc>
        <w:tc>
          <w:tcPr>
            <w:tcW w:w="2116" w:type="dxa"/>
          </w:tcPr>
          <w:p w:rsidR="004D55FD" w:rsidRPr="000F0F67" w:rsidRDefault="004D55FD" w:rsidP="005017E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gives et overblik over det gældende regelsæt samt hvordan systemet er opbygget og fungerer i relation til myndighedspligter og borgerrettigheder i forhold til ældre samt et overblik over de væsentligste udfordringer</w:t>
            </w:r>
          </w:p>
        </w:tc>
      </w:tr>
      <w:tr w:rsidR="00CC39B3" w:rsidRPr="000F0F67" w:rsidTr="0070435C">
        <w:tc>
          <w:tcPr>
            <w:tcW w:w="534" w:type="dxa"/>
            <w:vMerge w:val="restart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2</w:t>
            </w:r>
          </w:p>
        </w:tc>
        <w:tc>
          <w:tcPr>
            <w:tcW w:w="937" w:type="dxa"/>
          </w:tcPr>
          <w:p w:rsidR="005017EA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09.00</w:t>
            </w:r>
            <w:r w:rsidR="00944423">
              <w:rPr>
                <w:rFonts w:asciiTheme="majorHAnsi" w:hAnsiTheme="majorHAnsi"/>
              </w:rPr>
              <w:t>-11.00</w:t>
            </w:r>
          </w:p>
          <w:p w:rsidR="00944423" w:rsidRPr="000F0F67" w:rsidRDefault="00944423" w:rsidP="00865C8A">
            <w:pPr>
              <w:rPr>
                <w:rFonts w:asciiTheme="majorHAnsi" w:hAnsiTheme="majorHAnsi"/>
              </w:rPr>
            </w:pPr>
          </w:p>
        </w:tc>
        <w:tc>
          <w:tcPr>
            <w:tcW w:w="3390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Aldringsprocessens normale forløb og almindeligt forekommende afvigelser herfra</w:t>
            </w:r>
          </w:p>
        </w:tc>
        <w:tc>
          <w:tcPr>
            <w:tcW w:w="2116" w:type="dxa"/>
          </w:tcPr>
          <w:p w:rsidR="004D55FD" w:rsidRPr="000F0F67" w:rsidRDefault="004D55FD" w:rsidP="004D55FD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Formålet med oplægget er at give deltagerne indsigt i aldringsprocessens normale forløb med hovedvægten på de normalfysiologiske forandringer, der hører aldringen til, og den sundhedsmæssige betydning af disse forandringer.  De hyppigst forekommende variationer i forhold til normalforløbet belyses tillige.</w:t>
            </w: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11.00-12.00</w:t>
            </w:r>
          </w:p>
        </w:tc>
        <w:tc>
          <w:tcPr>
            <w:tcW w:w="3390" w:type="dxa"/>
          </w:tcPr>
          <w:p w:rsidR="006B1AFA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Demens og demenssygdomme og andre neurologiske forandringer</w:t>
            </w:r>
            <w:r>
              <w:rPr>
                <w:rFonts w:asciiTheme="majorHAnsi" w:hAnsiTheme="majorHAnsi"/>
              </w:rPr>
              <w:t xml:space="preserve"> som følge af aldringsprocessen.</w:t>
            </w:r>
          </w:p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Herunder også patienter med misbrug af medicin.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Deltagerne opnår en generel indsigt i de funktionstab som aldringsprocessen medfører hos den ældre. Deltagerne bibringes viden, der gør deltagerne i stand til at genkende symptomer og stadier af demens og demenssygdomme samt andre personlighedsforandringer, der følger af aldringsprocessen </w:t>
            </w: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3390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13.00</w:t>
            </w:r>
            <w:r w:rsidR="00F228C5">
              <w:rPr>
                <w:rFonts w:asciiTheme="majorHAnsi" w:hAnsiTheme="majorHAnsi"/>
              </w:rPr>
              <w:t>-14.3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390" w:type="dxa"/>
          </w:tcPr>
          <w:p w:rsidR="006B1AFA" w:rsidRPr="000F0F67" w:rsidRDefault="005B3151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Komm</w:t>
            </w:r>
            <w:r w:rsidR="006B1AFA" w:rsidRPr="000F0F67">
              <w:rPr>
                <w:rFonts w:asciiTheme="majorHAnsi" w:hAnsiTheme="majorHAnsi"/>
              </w:rPr>
              <w:t>unikation med den demente – hvordan?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opnår indsigt i de kommunikationsproblemer, der er i kommunikationen med demente og tips til hvordan kommunikationen kan foregå i en klinisk hverdag.</w:t>
            </w: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37" w:type="dxa"/>
          </w:tcPr>
          <w:p w:rsidR="006B1AFA" w:rsidRPr="000F0F67" w:rsidRDefault="00F228C5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14.3</w:t>
            </w:r>
            <w:r w:rsidR="006B1AFA">
              <w:rPr>
                <w:rFonts w:asciiTheme="majorHAnsi" w:hAnsiTheme="majorHAnsi"/>
              </w:rPr>
              <w:t>0-16.00</w:t>
            </w:r>
          </w:p>
        </w:tc>
        <w:tc>
          <w:tcPr>
            <w:tcW w:w="3390" w:type="dxa"/>
          </w:tcPr>
          <w:p w:rsidR="006B1AFA" w:rsidRPr="000F0F67" w:rsidRDefault="006B1AFA" w:rsidP="00F228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Hvordan gøres tandlæger i stand til at behandle patienter med demens</w:t>
            </w:r>
            <w:r w:rsidR="00F228C5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16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F228C5" w:rsidRPr="00E101A6" w:rsidRDefault="00F228C5" w:rsidP="00F228C5">
            <w:pPr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Deltagerne opnår gennem patientcases indsigt i de tandlægefaglige udfordringer, der er forbundet med tandbehandling på demente, herunder etiske overvejelser</w:t>
            </w:r>
          </w:p>
          <w:p w:rsidR="00F228C5" w:rsidRPr="00E101A6" w:rsidRDefault="00F228C5" w:rsidP="006B1AFA">
            <w:pPr>
              <w:rPr>
                <w:rFonts w:asciiTheme="majorHAnsi" w:hAnsiTheme="majorHAnsi"/>
              </w:rPr>
            </w:pPr>
          </w:p>
        </w:tc>
      </w:tr>
      <w:tr w:rsidR="006B1AFA" w:rsidRPr="000F0F67" w:rsidTr="0070435C">
        <w:trPr>
          <w:trHeight w:val="1044"/>
        </w:trPr>
        <w:tc>
          <w:tcPr>
            <w:tcW w:w="534" w:type="dxa"/>
            <w:vMerge w:val="restart"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3</w:t>
            </w:r>
          </w:p>
        </w:tc>
        <w:tc>
          <w:tcPr>
            <w:tcW w:w="937" w:type="dxa"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9.00</w:t>
            </w:r>
          </w:p>
        </w:tc>
        <w:tc>
          <w:tcPr>
            <w:tcW w:w="3390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Aldersrelaterede somatiske sygdomme med hovedvægten på sygdomme med direkte eller indirekte betydning for mundhygiejnen og tandsundheden</w:t>
            </w:r>
          </w:p>
        </w:tc>
        <w:tc>
          <w:tcPr>
            <w:tcW w:w="2116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opnår generel indsigt i de hyppigst forekommende aldersbetingede somatiske sygdomme og indgående kendskab til sygdomme, der har betydning for den sundhedsfremmende, forebyggende og behandlende tandplejemæssige indsats.</w:t>
            </w:r>
            <w:r w:rsidR="003A54DA">
              <w:rPr>
                <w:rFonts w:asciiTheme="majorHAnsi" w:hAnsiTheme="majorHAnsi"/>
              </w:rPr>
              <w:t xml:space="preserve"> Herunder også </w:t>
            </w:r>
            <w:proofErr w:type="spellStart"/>
            <w:r w:rsidR="003A54DA">
              <w:rPr>
                <w:rFonts w:asciiTheme="majorHAnsi" w:hAnsiTheme="majorHAnsi"/>
              </w:rPr>
              <w:t>dysfagi</w:t>
            </w:r>
            <w:proofErr w:type="spellEnd"/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12.00</w:t>
            </w:r>
          </w:p>
        </w:tc>
        <w:tc>
          <w:tcPr>
            <w:tcW w:w="3390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Frokost</w:t>
            </w:r>
          </w:p>
        </w:tc>
        <w:tc>
          <w:tcPr>
            <w:tcW w:w="2116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13.00</w:t>
            </w:r>
          </w:p>
        </w:tc>
        <w:tc>
          <w:tcPr>
            <w:tcW w:w="3390" w:type="dxa"/>
          </w:tcPr>
          <w:p w:rsidR="006B1AFA" w:rsidRPr="0070435C" w:rsidRDefault="006B1AFA" w:rsidP="006B1AFA">
            <w:pPr>
              <w:rPr>
                <w:rFonts w:asciiTheme="majorHAnsi" w:hAnsiTheme="majorHAnsi"/>
                <w:color w:val="000000" w:themeColor="text1"/>
              </w:rPr>
            </w:pPr>
            <w:r w:rsidRPr="0070435C">
              <w:rPr>
                <w:rFonts w:asciiTheme="majorHAnsi" w:hAnsiTheme="majorHAnsi"/>
                <w:color w:val="000000" w:themeColor="text1"/>
              </w:rPr>
              <w:t>Medicinering af ældre og betydning for mundtørhed</w:t>
            </w:r>
          </w:p>
        </w:tc>
        <w:tc>
          <w:tcPr>
            <w:tcW w:w="2116" w:type="dxa"/>
          </w:tcPr>
          <w:p w:rsidR="006B1AFA" w:rsidRPr="0070435C" w:rsidRDefault="006B1AFA" w:rsidP="006B1AFA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7451" w:type="dxa"/>
          </w:tcPr>
          <w:p w:rsidR="0070435C" w:rsidRPr="0070435C" w:rsidRDefault="0070435C" w:rsidP="0070435C">
            <w:pPr>
              <w:rPr>
                <w:rFonts w:asciiTheme="majorHAnsi" w:hAnsiTheme="majorHAnsi"/>
                <w:color w:val="000000" w:themeColor="text1"/>
              </w:rPr>
            </w:pPr>
            <w:r w:rsidRPr="0070435C">
              <w:rPr>
                <w:rFonts w:asciiTheme="majorHAnsi" w:hAnsiTheme="majorHAnsi"/>
                <w:color w:val="000000" w:themeColor="text1"/>
              </w:rPr>
              <w:t>Deltagerne gives viden om mundtørhed og dens følger.</w:t>
            </w:r>
          </w:p>
          <w:p w:rsidR="006B1AFA" w:rsidRPr="0070435C" w:rsidRDefault="006B1AFA" w:rsidP="0070435C">
            <w:pPr>
              <w:rPr>
                <w:rFonts w:asciiTheme="majorHAnsi" w:hAnsiTheme="majorHAnsi"/>
                <w:color w:val="000000" w:themeColor="text1"/>
                <w:highlight w:val="yellow"/>
              </w:rPr>
            </w:pP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13.40</w:t>
            </w:r>
          </w:p>
        </w:tc>
        <w:tc>
          <w:tcPr>
            <w:tcW w:w="3390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Fluorbehandling af caries i ældregruppen</w:t>
            </w:r>
          </w:p>
        </w:tc>
        <w:tc>
          <w:tcPr>
            <w:tcW w:w="2116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E101A6" w:rsidRDefault="00E101A6" w:rsidP="006B1AFA">
            <w:pPr>
              <w:rPr>
                <w:rFonts w:asciiTheme="majorHAnsi" w:hAnsiTheme="majorHAnsi"/>
                <w:highlight w:val="yellow"/>
              </w:rPr>
            </w:pPr>
            <w:r w:rsidRPr="00E101A6">
              <w:rPr>
                <w:rFonts w:asciiTheme="majorHAnsi" w:hAnsiTheme="majorHAnsi"/>
              </w:rPr>
              <w:t>Deltagerne gives v</w:t>
            </w:r>
            <w:r>
              <w:rPr>
                <w:rFonts w:asciiTheme="majorHAnsi" w:hAnsiTheme="majorHAnsi"/>
              </w:rPr>
              <w:t>iden o</w:t>
            </w:r>
            <w:r w:rsidR="0070435C">
              <w:rPr>
                <w:rFonts w:asciiTheme="majorHAnsi" w:hAnsiTheme="majorHAnsi"/>
              </w:rPr>
              <w:t xml:space="preserve">m mulighederne indenfor </w:t>
            </w:r>
            <w:r>
              <w:rPr>
                <w:rFonts w:asciiTheme="majorHAnsi" w:hAnsiTheme="majorHAnsi"/>
              </w:rPr>
              <w:t>f</w:t>
            </w:r>
            <w:r w:rsidRPr="00E101A6">
              <w:rPr>
                <w:rFonts w:asciiTheme="majorHAnsi" w:hAnsiTheme="majorHAnsi"/>
              </w:rPr>
              <w:t>luorbehandling på svækkede ældre. Undervisningen understøttes af patientcases</w:t>
            </w: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>14.10</w:t>
            </w:r>
          </w:p>
        </w:tc>
        <w:tc>
          <w:tcPr>
            <w:tcW w:w="3390" w:type="dxa"/>
          </w:tcPr>
          <w:p w:rsidR="006B1AFA" w:rsidRPr="00C1180B" w:rsidRDefault="006B1AFA" w:rsidP="006B1AFA">
            <w:pPr>
              <w:rPr>
                <w:rFonts w:ascii="Cambria" w:hAnsi="Cambria"/>
              </w:rPr>
            </w:pPr>
            <w:r w:rsidRPr="00C1180B">
              <w:rPr>
                <w:rFonts w:ascii="Cambria" w:hAnsi="Cambria"/>
              </w:rPr>
              <w:t>Pause</w:t>
            </w:r>
          </w:p>
        </w:tc>
        <w:tc>
          <w:tcPr>
            <w:tcW w:w="2116" w:type="dxa"/>
          </w:tcPr>
          <w:p w:rsidR="006B1AFA" w:rsidRPr="00E101A6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E101A6" w:rsidRDefault="006B1AFA" w:rsidP="006B1AFA">
            <w:pPr>
              <w:rPr>
                <w:rFonts w:asciiTheme="majorHAnsi" w:hAnsiTheme="majorHAnsi"/>
                <w:highlight w:val="yellow"/>
              </w:rPr>
            </w:pP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E101A6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E101A6">
              <w:rPr>
                <w:rFonts w:asciiTheme="majorHAnsi" w:hAnsiTheme="majorHAnsi"/>
              </w:rPr>
              <w:t xml:space="preserve">14.40 </w:t>
            </w:r>
          </w:p>
        </w:tc>
        <w:tc>
          <w:tcPr>
            <w:tcW w:w="3390" w:type="dxa"/>
          </w:tcPr>
          <w:p w:rsidR="006B1AFA" w:rsidRPr="00C1180B" w:rsidRDefault="00E101A6" w:rsidP="006B1AFA">
            <w:pPr>
              <w:rPr>
                <w:rFonts w:ascii="Cambria" w:hAnsi="Cambria"/>
              </w:rPr>
            </w:pPr>
            <w:r w:rsidRPr="00C1180B">
              <w:rPr>
                <w:rFonts w:ascii="Cambria" w:hAnsi="Cambria"/>
              </w:rPr>
              <w:t>Kompromisbehandling på svækkede ældre</w:t>
            </w:r>
          </w:p>
        </w:tc>
        <w:tc>
          <w:tcPr>
            <w:tcW w:w="2116" w:type="dxa"/>
          </w:tcPr>
          <w:p w:rsidR="006B1AFA" w:rsidRPr="00E101A6" w:rsidRDefault="006B1AFA" w:rsidP="0000752F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3A54DA" w:rsidRPr="00E101A6" w:rsidRDefault="00E101A6" w:rsidP="006B1AFA">
            <w:pPr>
              <w:rPr>
                <w:rFonts w:asciiTheme="majorHAnsi" w:hAnsiTheme="majorHAnsi"/>
                <w:highlight w:val="yellow"/>
              </w:rPr>
            </w:pPr>
            <w:r w:rsidRPr="00E101A6">
              <w:rPr>
                <w:rFonts w:asciiTheme="majorHAnsi" w:hAnsiTheme="majorHAnsi"/>
              </w:rPr>
              <w:t xml:space="preserve">Deltagerne gives viden om handlemuligheder inden for fyldnings og </w:t>
            </w:r>
            <w:proofErr w:type="spellStart"/>
            <w:r w:rsidRPr="00E101A6">
              <w:rPr>
                <w:rFonts w:asciiTheme="majorHAnsi" w:hAnsiTheme="majorHAnsi"/>
              </w:rPr>
              <w:t>parodontal</w:t>
            </w:r>
            <w:proofErr w:type="spellEnd"/>
            <w:r w:rsidRPr="00E101A6">
              <w:rPr>
                <w:rFonts w:asciiTheme="majorHAnsi" w:hAnsiTheme="majorHAnsi"/>
              </w:rPr>
              <w:t xml:space="preserve"> behandling, når kooperationen hos patienten er reduceret kraftigt. Herunder lindrende behandlingstiltag i livets allersidste fase. Undervisningen understøttes af patientcases</w:t>
            </w:r>
          </w:p>
        </w:tc>
      </w:tr>
      <w:tr w:rsidR="006B1AFA" w:rsidRPr="000F0F67" w:rsidTr="0070435C">
        <w:trPr>
          <w:trHeight w:val="698"/>
        </w:trPr>
        <w:tc>
          <w:tcPr>
            <w:tcW w:w="534" w:type="dxa"/>
            <w:vMerge w:val="restart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4</w:t>
            </w:r>
          </w:p>
        </w:tc>
        <w:tc>
          <w:tcPr>
            <w:tcW w:w="937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9.00</w:t>
            </w:r>
          </w:p>
        </w:tc>
        <w:tc>
          <w:tcPr>
            <w:tcW w:w="3390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Behandling med hel og del protetik – hvornår og hvordan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gives gennem patient cases indgående viden om behandling med hel og del protetik herunder i relation til de etiske overvejelser tandlægen må gøre sig når behandlingsplanen besluttes</w:t>
            </w: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3390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13.00</w:t>
            </w:r>
            <w:r w:rsidR="003A54DA">
              <w:rPr>
                <w:rFonts w:asciiTheme="majorHAnsi" w:hAnsiTheme="majorHAnsi"/>
              </w:rPr>
              <w:t>-16.00</w:t>
            </w:r>
          </w:p>
        </w:tc>
        <w:tc>
          <w:tcPr>
            <w:tcW w:w="3390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Formiddagens program fortsættes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gives gennem patient cases indgående viden om behandling med hel og del protetik herunder i relation til de etiske overvejelser tandlægen må gøre sig når behandlingsplanen besluttes</w:t>
            </w:r>
          </w:p>
        </w:tc>
      </w:tr>
      <w:tr w:rsidR="006B1AFA" w:rsidRPr="000F0F67" w:rsidTr="0070435C">
        <w:tc>
          <w:tcPr>
            <w:tcW w:w="534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5</w:t>
            </w:r>
          </w:p>
        </w:tc>
        <w:tc>
          <w:tcPr>
            <w:tcW w:w="937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09.00</w:t>
            </w:r>
            <w:r w:rsidR="003A54DA">
              <w:rPr>
                <w:rFonts w:asciiTheme="majorHAnsi" w:hAnsiTheme="majorHAnsi"/>
              </w:rPr>
              <w:t>-09.30</w:t>
            </w:r>
          </w:p>
        </w:tc>
        <w:tc>
          <w:tcPr>
            <w:tcW w:w="3390" w:type="dxa"/>
          </w:tcPr>
          <w:p w:rsidR="003A54DA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Introduktion til den skriftlige DKTE opgave</w:t>
            </w:r>
            <w:r w:rsidR="003A54DA">
              <w:rPr>
                <w:rFonts w:asciiTheme="majorHAnsi" w:hAnsiTheme="majorHAnsi"/>
              </w:rPr>
              <w:t xml:space="preserve"> </w:t>
            </w:r>
          </w:p>
          <w:p w:rsidR="003A54DA" w:rsidRPr="000F0F67" w:rsidRDefault="003A54D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2116" w:type="dxa"/>
          </w:tcPr>
          <w:p w:rsidR="003A54DA" w:rsidRDefault="003A54DA" w:rsidP="006B1AFA">
            <w:pPr>
              <w:rPr>
                <w:rFonts w:asciiTheme="majorHAnsi" w:hAnsiTheme="majorHAnsi"/>
              </w:rPr>
            </w:pPr>
          </w:p>
          <w:p w:rsidR="003A54DA" w:rsidRPr="000F0F67" w:rsidRDefault="003A54D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gøres bekendt med opgaveforløbet, herunder omfang og vejledning mv.</w:t>
            </w:r>
          </w:p>
          <w:p w:rsidR="003A54DA" w:rsidRPr="000F0F67" w:rsidRDefault="003A54DA" w:rsidP="006B1AFA">
            <w:pPr>
              <w:rPr>
                <w:rFonts w:asciiTheme="majorHAnsi" w:hAnsiTheme="majorHAnsi"/>
              </w:rPr>
            </w:pPr>
          </w:p>
        </w:tc>
      </w:tr>
      <w:tr w:rsidR="003A54DA" w:rsidRPr="000F0F67" w:rsidTr="0070435C">
        <w:tc>
          <w:tcPr>
            <w:tcW w:w="534" w:type="dxa"/>
          </w:tcPr>
          <w:p w:rsidR="003A54DA" w:rsidRPr="000F0F67" w:rsidRDefault="003A54D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3A54DA" w:rsidRPr="000F0F67" w:rsidRDefault="003A54DA" w:rsidP="006B1A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09.30-10.00</w:t>
            </w:r>
          </w:p>
        </w:tc>
        <w:tc>
          <w:tcPr>
            <w:tcW w:w="3390" w:type="dxa"/>
          </w:tcPr>
          <w:p w:rsidR="003A54DA" w:rsidRPr="000F0F67" w:rsidRDefault="001C651F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3A54DA">
              <w:rPr>
                <w:rFonts w:asciiTheme="majorHAnsi" w:hAnsiTheme="majorHAnsi"/>
              </w:rPr>
              <w:t>itteratursøgning, metodikker</w:t>
            </w:r>
          </w:p>
        </w:tc>
        <w:tc>
          <w:tcPr>
            <w:tcW w:w="2116" w:type="dxa"/>
          </w:tcPr>
          <w:p w:rsidR="003A54DA" w:rsidRPr="000F0F67" w:rsidRDefault="003A54DA" w:rsidP="003A54D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3A54DA" w:rsidRPr="000F0F67" w:rsidRDefault="003A54DA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Deltagerne opnår kendskab til de væsentligste databaser med relevant faglitteratur samt de mest gænge søgemetodikker </w:t>
            </w:r>
          </w:p>
        </w:tc>
      </w:tr>
      <w:tr w:rsidR="006B1AFA" w:rsidRPr="000F0F67" w:rsidTr="0070435C">
        <w:tc>
          <w:tcPr>
            <w:tcW w:w="534" w:type="dxa"/>
            <w:vMerge w:val="restart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10.00</w:t>
            </w:r>
          </w:p>
        </w:tc>
        <w:tc>
          <w:tcPr>
            <w:tcW w:w="3390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  <w:bCs/>
              </w:rPr>
              <w:t>Tandsundheden og brug af tandplejen i den ældre del af befolkningen. Hvad ved vi?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gives en oversigt over tandsundhedsstatus hos den ældre del af befolkningen, herunder omfanget af forskellige tandsundhedsproblemer</w:t>
            </w: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11.00</w:t>
            </w:r>
          </w:p>
        </w:tc>
        <w:tc>
          <w:tcPr>
            <w:tcW w:w="3390" w:type="dxa"/>
          </w:tcPr>
          <w:p w:rsidR="0070435C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Metoder til opretholdelse af god mundhygiejne på plejehjem og hos hjemmeboende ældre</w:t>
            </w:r>
            <w:r w:rsidR="0070435C">
              <w:rPr>
                <w:rFonts w:asciiTheme="majorHAnsi" w:hAnsiTheme="majorHAnsi"/>
              </w:rPr>
              <w:t>.</w:t>
            </w:r>
          </w:p>
          <w:p w:rsidR="0070435C" w:rsidRPr="000F0F67" w:rsidRDefault="0070435C" w:rsidP="006B1AFA">
            <w:pPr>
              <w:rPr>
                <w:rFonts w:asciiTheme="majorHAnsi" w:hAnsiTheme="majorHAnsi"/>
              </w:rPr>
            </w:pP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70435C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gives indblik i metoder til at sikre opretholdelse af god mundhygiejne og høj tandsundhed hos ældre på plejehjem samt ældre hjemmeboende med behov for personlig assistance til tandpleje</w:t>
            </w:r>
            <w:r w:rsidR="0070435C">
              <w:rPr>
                <w:rFonts w:asciiTheme="majorHAnsi" w:hAnsiTheme="majorHAnsi"/>
              </w:rPr>
              <w:t xml:space="preserve">. </w:t>
            </w:r>
          </w:p>
        </w:tc>
      </w:tr>
      <w:tr w:rsidR="006B1AFA" w:rsidRPr="000F0F67" w:rsidTr="0070435C">
        <w:tc>
          <w:tcPr>
            <w:tcW w:w="534" w:type="dxa"/>
            <w:vMerge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70435C" w:rsidP="006B1A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</w:t>
            </w:r>
          </w:p>
        </w:tc>
        <w:tc>
          <w:tcPr>
            <w:tcW w:w="3390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</w:tr>
      <w:tr w:rsidR="006B1AFA" w:rsidRPr="000F0F67" w:rsidTr="0070435C">
        <w:tc>
          <w:tcPr>
            <w:tcW w:w="534" w:type="dxa"/>
          </w:tcPr>
          <w:p w:rsidR="006B1AFA" w:rsidRPr="000F0F67" w:rsidRDefault="006B1AFA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6B1AFA" w:rsidRPr="000F0F67" w:rsidRDefault="00C1180B" w:rsidP="006B1A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6B1AFA" w:rsidRPr="000F0F67">
              <w:rPr>
                <w:rFonts w:asciiTheme="majorHAnsi" w:hAnsiTheme="majorHAnsi"/>
              </w:rPr>
              <w:t xml:space="preserve">.00 </w:t>
            </w:r>
          </w:p>
        </w:tc>
        <w:tc>
          <w:tcPr>
            <w:tcW w:w="3390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Barrierer for plejeindsatsen – hvordan overkommer vi dem?</w:t>
            </w:r>
          </w:p>
        </w:tc>
        <w:tc>
          <w:tcPr>
            <w:tcW w:w="2116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6B1AFA" w:rsidRPr="000F0F67" w:rsidRDefault="006B1AFA" w:rsidP="006B1AF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gives indsigt i de barrierer de vil møde hos plejepersonalet og de gives tips til, hvordan disse barrierer overvindes.</w:t>
            </w:r>
          </w:p>
        </w:tc>
      </w:tr>
      <w:tr w:rsidR="009D7C9C" w:rsidRPr="000F0F67" w:rsidTr="0070435C">
        <w:tc>
          <w:tcPr>
            <w:tcW w:w="534" w:type="dxa"/>
          </w:tcPr>
          <w:p w:rsidR="009D7C9C" w:rsidRPr="000F0F67" w:rsidRDefault="009D7C9C" w:rsidP="006B1AF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37" w:type="dxa"/>
          </w:tcPr>
          <w:p w:rsidR="009D7C9C" w:rsidRPr="000F0F67" w:rsidRDefault="009D7C9C" w:rsidP="006B1A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15.00-16.00 </w:t>
            </w:r>
          </w:p>
        </w:tc>
        <w:tc>
          <w:tcPr>
            <w:tcW w:w="3390" w:type="dxa"/>
          </w:tcPr>
          <w:p w:rsidR="009D7C9C" w:rsidRPr="000F0F67" w:rsidRDefault="009D7C9C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Evaluering af modul I</w:t>
            </w:r>
          </w:p>
        </w:tc>
        <w:tc>
          <w:tcPr>
            <w:tcW w:w="2116" w:type="dxa"/>
          </w:tcPr>
          <w:p w:rsidR="009D7C9C" w:rsidRPr="000F0F67" w:rsidRDefault="009D7C9C" w:rsidP="006B1AFA">
            <w:pPr>
              <w:rPr>
                <w:rFonts w:asciiTheme="majorHAnsi" w:hAnsiTheme="majorHAnsi"/>
              </w:rPr>
            </w:pPr>
          </w:p>
        </w:tc>
        <w:tc>
          <w:tcPr>
            <w:tcW w:w="7451" w:type="dxa"/>
          </w:tcPr>
          <w:p w:rsidR="009D7C9C" w:rsidRPr="000F0F67" w:rsidRDefault="009D7C9C" w:rsidP="006B1A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Plenum, mundtlig og skriftlig opsamling af første modul.</w:t>
            </w:r>
          </w:p>
        </w:tc>
      </w:tr>
    </w:tbl>
    <w:p w:rsidR="005017EA" w:rsidRPr="000F0F67" w:rsidRDefault="005017EA" w:rsidP="005017EA">
      <w:pPr>
        <w:rPr>
          <w:rFonts w:asciiTheme="majorHAnsi" w:hAnsiTheme="majorHAnsi"/>
        </w:rPr>
      </w:pPr>
      <w:r w:rsidRPr="000F0F67">
        <w:rPr>
          <w:rFonts w:asciiTheme="majorHAnsi" w:hAnsiTheme="majorHAnsi"/>
        </w:rPr>
        <w:br w:type="page"/>
      </w:r>
    </w:p>
    <w:tbl>
      <w:tblPr>
        <w:tblStyle w:val="Tabel-Gitter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2127"/>
        <w:gridCol w:w="7512"/>
      </w:tblGrid>
      <w:tr w:rsidR="005017EA" w:rsidRPr="000F0F67" w:rsidTr="00865C8A">
        <w:tc>
          <w:tcPr>
            <w:tcW w:w="14283" w:type="dxa"/>
            <w:gridSpan w:val="5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lastRenderedPageBreak/>
              <w:t>MODUL 2: DKTE i special</w:t>
            </w:r>
            <w:r w:rsidR="00317F30">
              <w:rPr>
                <w:rFonts w:asciiTheme="majorHAnsi" w:hAnsiTheme="majorHAnsi"/>
                <w:b/>
              </w:rPr>
              <w:t xml:space="preserve">, social </w:t>
            </w:r>
            <w:r w:rsidRPr="000F0F67">
              <w:rPr>
                <w:rFonts w:asciiTheme="majorHAnsi" w:hAnsiTheme="majorHAnsi"/>
                <w:b/>
              </w:rPr>
              <w:t>- og omsorgstandpleje</w:t>
            </w:r>
            <w:r w:rsidR="00317F3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017EA" w:rsidRPr="000F0F67" w:rsidTr="000F0F67">
        <w:tc>
          <w:tcPr>
            <w:tcW w:w="675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Dag</w:t>
            </w:r>
          </w:p>
        </w:tc>
        <w:tc>
          <w:tcPr>
            <w:tcW w:w="851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Tid</w:t>
            </w:r>
          </w:p>
        </w:tc>
        <w:tc>
          <w:tcPr>
            <w:tcW w:w="3118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Emne</w:t>
            </w:r>
          </w:p>
        </w:tc>
        <w:tc>
          <w:tcPr>
            <w:tcW w:w="2127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Oplægsholder</w:t>
            </w:r>
          </w:p>
        </w:tc>
        <w:tc>
          <w:tcPr>
            <w:tcW w:w="7512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Kundskabsmål</w:t>
            </w:r>
          </w:p>
        </w:tc>
      </w:tr>
      <w:tr w:rsidR="005017EA" w:rsidRPr="000F0F67" w:rsidTr="000F0F67">
        <w:tc>
          <w:tcPr>
            <w:tcW w:w="675" w:type="dxa"/>
            <w:vMerge w:val="restart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</w:t>
            </w:r>
          </w:p>
        </w:tc>
        <w:tc>
          <w:tcPr>
            <w:tcW w:w="851" w:type="dxa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9.00</w:t>
            </w:r>
          </w:p>
        </w:tc>
        <w:tc>
          <w:tcPr>
            <w:tcW w:w="3118" w:type="dxa"/>
          </w:tcPr>
          <w:p w:rsidR="005017EA" w:rsidRPr="000F0F67" w:rsidRDefault="005017EA" w:rsidP="0028135D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 almindeligst</w:t>
            </w:r>
            <w:r w:rsidR="00B04524">
              <w:rPr>
                <w:rFonts w:asciiTheme="majorHAnsi" w:hAnsiTheme="majorHAnsi"/>
              </w:rPr>
              <w:t>e</w:t>
            </w:r>
            <w:r w:rsidR="0028135D" w:rsidRPr="000F0F67">
              <w:rPr>
                <w:rFonts w:asciiTheme="majorHAnsi" w:hAnsiTheme="majorHAnsi"/>
              </w:rPr>
              <w:t xml:space="preserve"> og sjældent</w:t>
            </w:r>
            <w:r w:rsidRPr="000F0F67">
              <w:rPr>
                <w:rFonts w:asciiTheme="majorHAnsi" w:hAnsiTheme="majorHAnsi"/>
              </w:rPr>
              <w:t xml:space="preserve"> forekommende medfødte syndromer med udviklingshæmning (f</w:t>
            </w:r>
            <w:r w:rsidR="0028135D" w:rsidRPr="000F0F67">
              <w:rPr>
                <w:rFonts w:asciiTheme="majorHAnsi" w:hAnsiTheme="majorHAnsi"/>
              </w:rPr>
              <w:t>.eks. DOWN syndrom</w:t>
            </w:r>
            <w:r w:rsidRPr="000F0F67">
              <w:rPr>
                <w:rFonts w:asciiTheme="majorHAnsi" w:hAnsiTheme="majorHAnsi"/>
              </w:rPr>
              <w:t>)</w:t>
            </w:r>
            <w:r w:rsidR="0028135D" w:rsidRPr="000F0F67">
              <w:rPr>
                <w:rFonts w:asciiTheme="majorHAnsi" w:hAnsiTheme="majorHAnsi"/>
              </w:rPr>
              <w:t xml:space="preserve"> samt erhvervede funktionsnedsættelser (f.eks. hjerneskader som følge af ulykke eller langvarigt misbrug)</w:t>
            </w:r>
            <w:r w:rsidRPr="000F0F67">
              <w:rPr>
                <w:rFonts w:asciiTheme="majorHAnsi" w:hAnsiTheme="majorHAnsi"/>
              </w:rPr>
              <w:t xml:space="preserve"> med særlig vægt på de sygdomme</w:t>
            </w:r>
            <w:r w:rsidR="0028135D" w:rsidRPr="000F0F67">
              <w:rPr>
                <w:rFonts w:asciiTheme="majorHAnsi" w:hAnsiTheme="majorHAnsi"/>
              </w:rPr>
              <w:t xml:space="preserve"> og tilstande</w:t>
            </w:r>
            <w:r w:rsidRPr="000F0F67">
              <w:rPr>
                <w:rFonts w:asciiTheme="majorHAnsi" w:hAnsiTheme="majorHAnsi"/>
              </w:rPr>
              <w:t xml:space="preserve"> med betydning for tandsundhed og opretholdelse af mundhygiejne - forekomst, manifestationer, udvikling, behandling og eventuelle somatiske følgetilstande. </w:t>
            </w:r>
          </w:p>
        </w:tc>
        <w:tc>
          <w:tcPr>
            <w:tcW w:w="2127" w:type="dxa"/>
          </w:tcPr>
          <w:p w:rsidR="00D217AB" w:rsidRPr="000F0F67" w:rsidRDefault="00D217AB" w:rsidP="0000752F">
            <w:pPr>
              <w:rPr>
                <w:rFonts w:asciiTheme="majorHAnsi" w:hAnsiTheme="majorHAnsi"/>
              </w:rPr>
            </w:pPr>
          </w:p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5017EA" w:rsidRPr="000F0F67" w:rsidRDefault="00B04524" w:rsidP="008939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Deltagerne får en betydelig</w:t>
            </w:r>
            <w:r w:rsidR="005017EA" w:rsidRPr="000F0F67">
              <w:rPr>
                <w:rFonts w:asciiTheme="majorHAnsi" w:hAnsiTheme="majorHAnsi"/>
              </w:rPr>
              <w:t xml:space="preserve"> indsigt i medfødt udviklingshæmning med betydning for tandudvikling, kæbevækst, tandsundhed, og mundhygiejne.</w:t>
            </w:r>
            <w:r w:rsidR="0028135D" w:rsidRPr="000F0F67">
              <w:rPr>
                <w:rFonts w:asciiTheme="majorHAnsi" w:hAnsiTheme="majorHAnsi"/>
              </w:rPr>
              <w:t xml:space="preserve"> </w:t>
            </w:r>
            <w:r w:rsidR="005017EA" w:rsidRPr="000F0F67">
              <w:rPr>
                <w:rFonts w:asciiTheme="majorHAnsi" w:hAnsiTheme="majorHAnsi"/>
              </w:rPr>
              <w:t>Deltagerne</w:t>
            </w:r>
            <w:r w:rsidR="0028135D" w:rsidRPr="000F0F67">
              <w:rPr>
                <w:rFonts w:asciiTheme="majorHAnsi" w:hAnsiTheme="majorHAnsi"/>
              </w:rPr>
              <w:t xml:space="preserve"> får endvidere indsigt i erhvervet funktionshæmning f.eks. hjerneskader som følge af ulykke eller langvarigt misbrug. </w:t>
            </w:r>
          </w:p>
        </w:tc>
      </w:tr>
      <w:tr w:rsidR="005017EA" w:rsidRPr="000F0F67" w:rsidTr="000F0F67">
        <w:tc>
          <w:tcPr>
            <w:tcW w:w="675" w:type="dxa"/>
            <w:vMerge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3118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</w:tc>
      </w:tr>
      <w:tr w:rsidR="0028135D" w:rsidRPr="000F0F67" w:rsidTr="000F0F67">
        <w:tc>
          <w:tcPr>
            <w:tcW w:w="675" w:type="dxa"/>
            <w:vMerge/>
          </w:tcPr>
          <w:p w:rsidR="0028135D" w:rsidRPr="000F0F67" w:rsidRDefault="0028135D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28135D" w:rsidRPr="000F0F67" w:rsidRDefault="0028135D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13.00 </w:t>
            </w:r>
          </w:p>
        </w:tc>
        <w:tc>
          <w:tcPr>
            <w:tcW w:w="3118" w:type="dxa"/>
          </w:tcPr>
          <w:p w:rsidR="0028135D" w:rsidRPr="000F0F67" w:rsidRDefault="0028135D" w:rsidP="00E00B14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Tandbehandling af de almindelige og sjældent forekommende medfødte syndromer med udviklingshæmning (f.eks. DOWN syndrom) </w:t>
            </w:r>
          </w:p>
        </w:tc>
        <w:tc>
          <w:tcPr>
            <w:tcW w:w="2127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28135D" w:rsidRDefault="0028135D" w:rsidP="00893923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Deltagerne får en betydelig e indsigt i medfødt udviklingshæmning med betydning for tandudvikling, kæbevækst, tandsundhed, og mundhygiejne. </w:t>
            </w:r>
            <w:r w:rsidR="00E00B14">
              <w:rPr>
                <w:rFonts w:asciiTheme="majorHAnsi" w:hAnsiTheme="majorHAnsi"/>
              </w:rPr>
              <w:t>Oplægget understøttes af patientcases.</w:t>
            </w:r>
          </w:p>
          <w:p w:rsidR="00E00B14" w:rsidRDefault="00E00B14" w:rsidP="00893923">
            <w:pPr>
              <w:rPr>
                <w:rFonts w:asciiTheme="majorHAnsi" w:hAnsiTheme="majorHAnsi"/>
              </w:rPr>
            </w:pPr>
          </w:p>
          <w:p w:rsidR="00E00B14" w:rsidRPr="000F0F67" w:rsidRDefault="00E00B14" w:rsidP="00E00B14">
            <w:pPr>
              <w:rPr>
                <w:rFonts w:asciiTheme="majorHAnsi" w:hAnsiTheme="majorHAnsi"/>
              </w:rPr>
            </w:pPr>
          </w:p>
        </w:tc>
      </w:tr>
      <w:tr w:rsidR="00E00B14" w:rsidRPr="000F0F67" w:rsidTr="000F0F67">
        <w:tc>
          <w:tcPr>
            <w:tcW w:w="675" w:type="dxa"/>
          </w:tcPr>
          <w:p w:rsidR="00E00B14" w:rsidRPr="000F0F67" w:rsidRDefault="00E00B14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00B14" w:rsidRPr="000F0F67" w:rsidRDefault="00E00B14" w:rsidP="00865C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14.30-16.00</w:t>
            </w:r>
          </w:p>
        </w:tc>
        <w:tc>
          <w:tcPr>
            <w:tcW w:w="3118" w:type="dxa"/>
          </w:tcPr>
          <w:p w:rsidR="00E00B14" w:rsidRPr="000F0F67" w:rsidRDefault="00E00B14" w:rsidP="00696F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Pr="000F0F67">
              <w:rPr>
                <w:rFonts w:asciiTheme="majorHAnsi" w:hAnsiTheme="majorHAnsi"/>
              </w:rPr>
              <w:t>rhvervede funktionsnedsættelser (f.eks. hjerneskader som følge af ulykke eller langvarigt misbrug) med særlig vægt på de sygdomme og tilstande, der har betydning for tandsundhed og opretholdelse af mundhygiejne.</w:t>
            </w:r>
          </w:p>
        </w:tc>
        <w:tc>
          <w:tcPr>
            <w:tcW w:w="2127" w:type="dxa"/>
          </w:tcPr>
          <w:p w:rsidR="00E00B14" w:rsidRDefault="00E00B14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E00B14" w:rsidRPr="000F0F67" w:rsidRDefault="00E00B14" w:rsidP="00E00B14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får indsigt i erhvervet funktionshæmning f.eks. hjerneskader som følge af ulykke eller langvarigt misbrug. Deltagerne gøres på baggrund af konkrete cases i stand til at gennemføre en tandlægefaglig vurdering af de mulige behandlingsmetoder.</w:t>
            </w:r>
          </w:p>
        </w:tc>
      </w:tr>
      <w:tr w:rsidR="0028135D" w:rsidRPr="000F0F67" w:rsidTr="000F0F67">
        <w:tc>
          <w:tcPr>
            <w:tcW w:w="675" w:type="dxa"/>
            <w:vMerge w:val="restart"/>
          </w:tcPr>
          <w:p w:rsidR="0028135D" w:rsidRPr="000F0F67" w:rsidRDefault="0028135D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2</w:t>
            </w:r>
          </w:p>
        </w:tc>
        <w:tc>
          <w:tcPr>
            <w:tcW w:w="851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09.00</w:t>
            </w:r>
          </w:p>
        </w:tc>
        <w:tc>
          <w:tcPr>
            <w:tcW w:w="3118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Medfødte </w:t>
            </w:r>
            <w:proofErr w:type="spellStart"/>
            <w:r w:rsidRPr="000F0F67">
              <w:rPr>
                <w:rFonts w:asciiTheme="majorHAnsi" w:hAnsiTheme="majorHAnsi"/>
              </w:rPr>
              <w:t>neuropsykiatrisk</w:t>
            </w:r>
            <w:r w:rsidR="00317F30">
              <w:rPr>
                <w:rFonts w:asciiTheme="majorHAnsi" w:hAnsiTheme="majorHAnsi"/>
              </w:rPr>
              <w:t>e</w:t>
            </w:r>
            <w:proofErr w:type="spellEnd"/>
            <w:r w:rsidR="00317F30">
              <w:rPr>
                <w:rFonts w:asciiTheme="majorHAnsi" w:hAnsiTheme="majorHAnsi"/>
              </w:rPr>
              <w:t xml:space="preserve"> lidelser (f.eks. autisme, ADHD</w:t>
            </w:r>
            <w:r w:rsidRPr="000F0F67">
              <w:rPr>
                <w:rFonts w:asciiTheme="majorHAnsi" w:hAnsiTheme="majorHAnsi"/>
              </w:rPr>
              <w:t xml:space="preserve">, </w:t>
            </w:r>
            <w:proofErr w:type="spellStart"/>
            <w:r w:rsidRPr="000F0F67">
              <w:rPr>
                <w:rFonts w:asciiTheme="majorHAnsi" w:hAnsiTheme="majorHAnsi"/>
              </w:rPr>
              <w:lastRenderedPageBreak/>
              <w:t>Tourette</w:t>
            </w:r>
            <w:proofErr w:type="spellEnd"/>
            <w:r w:rsidRPr="000F0F67">
              <w:rPr>
                <w:rFonts w:asciiTheme="majorHAnsi" w:hAnsiTheme="majorHAnsi"/>
              </w:rPr>
              <w:t>, OCD)med særlig vægt på de sygdomme med betydning for tandsundhed og opretholdelse af mundhygiejne - forekomst, manifestationer, udvikling, behandling og e</w:t>
            </w:r>
            <w:r w:rsidR="00B04524">
              <w:rPr>
                <w:rFonts w:asciiTheme="majorHAnsi" w:hAnsiTheme="majorHAnsi"/>
              </w:rPr>
              <w:t xml:space="preserve">ventuelle andre følgetilstande - </w:t>
            </w:r>
          </w:p>
        </w:tc>
        <w:tc>
          <w:tcPr>
            <w:tcW w:w="2127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28135D" w:rsidRPr="000F0F67" w:rsidRDefault="0028135D" w:rsidP="00696FB8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lastRenderedPageBreak/>
              <w:t xml:space="preserve">Deltagerne får en betydelig indsigt i de </w:t>
            </w:r>
            <w:proofErr w:type="spellStart"/>
            <w:r w:rsidRPr="000F0F67">
              <w:rPr>
                <w:rFonts w:asciiTheme="majorHAnsi" w:hAnsiTheme="majorHAnsi"/>
              </w:rPr>
              <w:t>neuropsykiatriske</w:t>
            </w:r>
            <w:proofErr w:type="spellEnd"/>
            <w:r w:rsidRPr="000F0F67">
              <w:rPr>
                <w:rFonts w:asciiTheme="majorHAnsi" w:hAnsiTheme="majorHAnsi"/>
              </w:rPr>
              <w:t xml:space="preserve"> sygdomme med betydning for tandsundhed og mundhygiejne. </w:t>
            </w:r>
          </w:p>
        </w:tc>
      </w:tr>
      <w:tr w:rsidR="0028135D" w:rsidRPr="000F0F67" w:rsidTr="000F0F67">
        <w:tc>
          <w:tcPr>
            <w:tcW w:w="675" w:type="dxa"/>
            <w:vMerge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3118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28135D" w:rsidRPr="000F0F67" w:rsidRDefault="0028135D" w:rsidP="00865C8A">
            <w:pPr>
              <w:rPr>
                <w:rFonts w:asciiTheme="majorHAnsi" w:hAnsiTheme="majorHAnsi"/>
              </w:rPr>
            </w:pPr>
          </w:p>
        </w:tc>
      </w:tr>
      <w:tr w:rsidR="00696FB8" w:rsidRPr="000F0F67" w:rsidTr="000F0F67">
        <w:tc>
          <w:tcPr>
            <w:tcW w:w="675" w:type="dxa"/>
            <w:vMerge/>
          </w:tcPr>
          <w:p w:rsidR="00696FB8" w:rsidRPr="000F0F67" w:rsidRDefault="00696FB8" w:rsidP="00865C8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696FB8" w:rsidRPr="000F0F67" w:rsidRDefault="00696FB8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13.00</w:t>
            </w:r>
          </w:p>
        </w:tc>
        <w:tc>
          <w:tcPr>
            <w:tcW w:w="3118" w:type="dxa"/>
          </w:tcPr>
          <w:p w:rsidR="00696FB8" w:rsidRPr="000F0F67" w:rsidRDefault="00696FB8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Tandbehandling ved medfødte </w:t>
            </w:r>
            <w:proofErr w:type="spellStart"/>
            <w:r w:rsidRPr="000F0F67">
              <w:rPr>
                <w:rFonts w:asciiTheme="majorHAnsi" w:hAnsiTheme="majorHAnsi"/>
              </w:rPr>
              <w:t>neuropsykiatrisk</w:t>
            </w:r>
            <w:r w:rsidR="00317F30">
              <w:rPr>
                <w:rFonts w:asciiTheme="majorHAnsi" w:hAnsiTheme="majorHAnsi"/>
              </w:rPr>
              <w:t>e</w:t>
            </w:r>
            <w:proofErr w:type="spellEnd"/>
            <w:r w:rsidR="00317F30">
              <w:rPr>
                <w:rFonts w:asciiTheme="majorHAnsi" w:hAnsiTheme="majorHAnsi"/>
              </w:rPr>
              <w:t xml:space="preserve"> lidelser (f.eks. autisme, ADHD</w:t>
            </w:r>
            <w:r w:rsidRPr="000F0F67">
              <w:rPr>
                <w:rFonts w:asciiTheme="majorHAnsi" w:hAnsiTheme="majorHAnsi"/>
              </w:rPr>
              <w:t xml:space="preserve">, </w:t>
            </w:r>
            <w:proofErr w:type="spellStart"/>
            <w:r w:rsidRPr="000F0F67">
              <w:rPr>
                <w:rFonts w:asciiTheme="majorHAnsi" w:hAnsiTheme="majorHAnsi"/>
              </w:rPr>
              <w:t>Tourette</w:t>
            </w:r>
            <w:proofErr w:type="spellEnd"/>
            <w:r w:rsidRPr="000F0F67">
              <w:rPr>
                <w:rFonts w:asciiTheme="majorHAnsi" w:hAnsiTheme="majorHAnsi"/>
              </w:rPr>
              <w:t>, OCD)med særlig vægt på de sygdomme med betydning for tandsundhed og opretholdelse af mundhygiejne</w:t>
            </w:r>
          </w:p>
        </w:tc>
        <w:tc>
          <w:tcPr>
            <w:tcW w:w="2127" w:type="dxa"/>
          </w:tcPr>
          <w:p w:rsidR="00696FB8" w:rsidRPr="000F0F67" w:rsidRDefault="00696FB8" w:rsidP="003A3CC7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696FB8" w:rsidRPr="000F0F67" w:rsidRDefault="00696FB8" w:rsidP="001B715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får en betydelig indsigt i de</w:t>
            </w:r>
            <w:r w:rsidR="001B715A" w:rsidRPr="000F0F67">
              <w:rPr>
                <w:rFonts w:asciiTheme="majorHAnsi" w:hAnsiTheme="majorHAnsi"/>
              </w:rPr>
              <w:t xml:space="preserve"> tandlægefaglige udfordringer i forbindelse med</w:t>
            </w:r>
            <w:r w:rsidRPr="000F0F67">
              <w:rPr>
                <w:rFonts w:asciiTheme="majorHAnsi" w:hAnsiTheme="majorHAnsi"/>
              </w:rPr>
              <w:t xml:space="preserve"> </w:t>
            </w:r>
            <w:proofErr w:type="spellStart"/>
            <w:r w:rsidRPr="000F0F67">
              <w:rPr>
                <w:rFonts w:asciiTheme="majorHAnsi" w:hAnsiTheme="majorHAnsi"/>
              </w:rPr>
              <w:t>neuropsykiatriskeske</w:t>
            </w:r>
            <w:proofErr w:type="spellEnd"/>
            <w:r w:rsidRPr="000F0F67">
              <w:rPr>
                <w:rFonts w:asciiTheme="majorHAnsi" w:hAnsiTheme="majorHAnsi"/>
              </w:rPr>
              <w:t xml:space="preserve"> sygdomme</w:t>
            </w:r>
            <w:r w:rsidR="001B715A" w:rsidRPr="000F0F67">
              <w:rPr>
                <w:rFonts w:asciiTheme="majorHAnsi" w:hAnsiTheme="majorHAnsi"/>
              </w:rPr>
              <w:t>.</w:t>
            </w:r>
            <w:r w:rsidRPr="000F0F67">
              <w:rPr>
                <w:rFonts w:asciiTheme="majorHAnsi" w:hAnsiTheme="majorHAnsi"/>
              </w:rPr>
              <w:t xml:space="preserve"> Deltagerne gøres ved gennemgang af cases i stand til at gennemføre en tandlægefaglig vurdering af de mulige behandlingsmetoder.</w:t>
            </w:r>
          </w:p>
        </w:tc>
      </w:tr>
      <w:tr w:rsidR="001B715A" w:rsidRPr="000F0F67" w:rsidTr="000F0F67">
        <w:tc>
          <w:tcPr>
            <w:tcW w:w="675" w:type="dxa"/>
            <w:vMerge w:val="restart"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3</w:t>
            </w:r>
          </w:p>
        </w:tc>
        <w:tc>
          <w:tcPr>
            <w:tcW w:w="851" w:type="dxa"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9.00</w:t>
            </w:r>
          </w:p>
        </w:tc>
        <w:tc>
          <w:tcPr>
            <w:tcW w:w="3118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Patienter med neurologiske sygdomme (CP, </w:t>
            </w:r>
            <w:proofErr w:type="spellStart"/>
            <w:r w:rsidRPr="000F0F67">
              <w:rPr>
                <w:rFonts w:asciiTheme="majorHAnsi" w:hAnsiTheme="majorHAnsi"/>
              </w:rPr>
              <w:t>Parkinsson</w:t>
            </w:r>
            <w:proofErr w:type="spellEnd"/>
            <w:r w:rsidRPr="000F0F67">
              <w:rPr>
                <w:rFonts w:asciiTheme="majorHAnsi" w:hAnsiTheme="majorHAnsi"/>
              </w:rPr>
              <w:t xml:space="preserve">, </w:t>
            </w:r>
            <w:proofErr w:type="spellStart"/>
            <w:r w:rsidRPr="000F0F67">
              <w:rPr>
                <w:rFonts w:asciiTheme="majorHAnsi" w:hAnsiTheme="majorHAnsi"/>
              </w:rPr>
              <w:t>Sclerose</w:t>
            </w:r>
            <w:proofErr w:type="spellEnd"/>
            <w:r w:rsidRPr="000F0F67">
              <w:rPr>
                <w:rFonts w:asciiTheme="majorHAnsi" w:hAnsiTheme="majorHAnsi"/>
              </w:rPr>
              <w:t xml:space="preserve">, muskelsvind)  med særlig vægt på de sygdomme med betydning for tandsundhed og opretholdelse af mundhygiejne - forekomst, manifestationer, udvikling, behandling og eventuelle andre følgetilstande  </w:t>
            </w:r>
          </w:p>
        </w:tc>
        <w:tc>
          <w:tcPr>
            <w:tcW w:w="2127" w:type="dxa"/>
          </w:tcPr>
          <w:p w:rsidR="001B715A" w:rsidRPr="000F0F67" w:rsidRDefault="001B715A" w:rsidP="001B715A">
            <w:pPr>
              <w:rPr>
                <w:rFonts w:asciiTheme="majorHAnsi" w:hAnsiTheme="majorHAnsi"/>
              </w:rPr>
            </w:pPr>
          </w:p>
          <w:p w:rsidR="001B715A" w:rsidRPr="000F0F67" w:rsidRDefault="001B715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får en betydelig indsigt i de neurologiske sygdomme med betydning for tandsundhed og mundhygiejne.</w:t>
            </w:r>
          </w:p>
        </w:tc>
      </w:tr>
      <w:tr w:rsidR="001B715A" w:rsidRPr="000F0F67" w:rsidTr="000F0F67">
        <w:tc>
          <w:tcPr>
            <w:tcW w:w="675" w:type="dxa"/>
            <w:vMerge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3118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</w:p>
        </w:tc>
      </w:tr>
      <w:tr w:rsidR="001B715A" w:rsidRPr="000F0F67" w:rsidTr="000F0F67">
        <w:tc>
          <w:tcPr>
            <w:tcW w:w="675" w:type="dxa"/>
            <w:vMerge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1B715A" w:rsidRPr="000F72F8" w:rsidRDefault="001B715A" w:rsidP="00865C8A">
            <w:pPr>
              <w:jc w:val="center"/>
              <w:rPr>
                <w:rFonts w:asciiTheme="majorHAnsi" w:hAnsiTheme="majorHAnsi"/>
              </w:rPr>
            </w:pPr>
            <w:r w:rsidRPr="000F72F8">
              <w:rPr>
                <w:rFonts w:asciiTheme="majorHAnsi" w:hAnsiTheme="majorHAnsi"/>
              </w:rPr>
              <w:t>13.00</w:t>
            </w:r>
          </w:p>
        </w:tc>
        <w:tc>
          <w:tcPr>
            <w:tcW w:w="3118" w:type="dxa"/>
          </w:tcPr>
          <w:p w:rsidR="001B715A" w:rsidRPr="000F72F8" w:rsidRDefault="00BD66B1" w:rsidP="00CE4C9B">
            <w:pPr>
              <w:rPr>
                <w:rFonts w:asciiTheme="majorHAnsi" w:hAnsiTheme="majorHAnsi"/>
              </w:rPr>
            </w:pPr>
            <w:r w:rsidRPr="000F72F8">
              <w:rPr>
                <w:rFonts w:asciiTheme="majorHAnsi" w:hAnsiTheme="majorHAnsi"/>
              </w:rPr>
              <w:t xml:space="preserve">Odontologiske aspekter ved neurologiske og reumatologiske sygdomme </w:t>
            </w:r>
          </w:p>
        </w:tc>
        <w:tc>
          <w:tcPr>
            <w:tcW w:w="2127" w:type="dxa"/>
          </w:tcPr>
          <w:p w:rsidR="00D217AB" w:rsidRPr="000F0F67" w:rsidRDefault="00D217AB" w:rsidP="0000752F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1B715A" w:rsidRPr="000F0F67" w:rsidRDefault="00BD66B1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får en betydelig indsigt i de tandlægefaglige udfordringer i forbindelse med behandling af neurologiske og reumatologiske sygdomme ved gennemgang af relevant litteratur og patienttilfælde</w:t>
            </w:r>
            <w:r w:rsidR="00CE4C9B" w:rsidRPr="000F0F67">
              <w:rPr>
                <w:rFonts w:asciiTheme="majorHAnsi" w:hAnsiTheme="majorHAnsi"/>
              </w:rPr>
              <w:t>.</w:t>
            </w:r>
          </w:p>
          <w:p w:rsidR="00CE4C9B" w:rsidRPr="000F0F67" w:rsidRDefault="00CE4C9B" w:rsidP="00CE4C9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Foredraget omfatter karakteristika og specielle forhold og odontologiske udfordringer, der er i </w:t>
            </w:r>
            <w:proofErr w:type="spellStart"/>
            <w:r w:rsidRPr="000F0F67">
              <w:rPr>
                <w:rFonts w:asciiTheme="majorHAnsi" w:hAnsiTheme="majorHAnsi"/>
              </w:rPr>
              <w:t>i</w:t>
            </w:r>
            <w:proofErr w:type="spellEnd"/>
            <w:r w:rsidRPr="000F0F67">
              <w:rPr>
                <w:rFonts w:asciiTheme="majorHAnsi" w:hAnsiTheme="majorHAnsi"/>
              </w:rPr>
              <w:t xml:space="preserve"> forbindelse med undersøgelse og behandling af en række neurologiske og reumatologiske lidelser</w:t>
            </w:r>
          </w:p>
        </w:tc>
      </w:tr>
      <w:tr w:rsidR="001B715A" w:rsidRPr="000F0F67" w:rsidTr="000F0F67">
        <w:tc>
          <w:tcPr>
            <w:tcW w:w="675" w:type="dxa"/>
            <w:vMerge w:val="restart"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4</w:t>
            </w:r>
          </w:p>
        </w:tc>
        <w:tc>
          <w:tcPr>
            <w:tcW w:w="851" w:type="dxa"/>
          </w:tcPr>
          <w:p w:rsidR="001B715A" w:rsidRPr="000F72F8" w:rsidRDefault="001B715A" w:rsidP="00865C8A">
            <w:pPr>
              <w:jc w:val="center"/>
              <w:rPr>
                <w:rFonts w:asciiTheme="majorHAnsi" w:hAnsiTheme="majorHAnsi"/>
              </w:rPr>
            </w:pPr>
            <w:r w:rsidRPr="000F72F8">
              <w:rPr>
                <w:rFonts w:asciiTheme="majorHAnsi" w:hAnsiTheme="majorHAnsi"/>
              </w:rPr>
              <w:t>9.00</w:t>
            </w:r>
          </w:p>
        </w:tc>
        <w:tc>
          <w:tcPr>
            <w:tcW w:w="3118" w:type="dxa"/>
          </w:tcPr>
          <w:p w:rsidR="001B715A" w:rsidRPr="000F72F8" w:rsidRDefault="000F72F8" w:rsidP="00865C8A">
            <w:pPr>
              <w:rPr>
                <w:rFonts w:asciiTheme="majorHAnsi" w:hAnsiTheme="majorHAnsi"/>
              </w:rPr>
            </w:pPr>
            <w:r w:rsidRPr="000F72F8">
              <w:rPr>
                <w:rFonts w:asciiTheme="majorHAnsi" w:hAnsiTheme="majorHAnsi"/>
              </w:rPr>
              <w:t xml:space="preserve">Psykiatriske lidelser og deres behandling med særlig vægt på lidelser med betydning for </w:t>
            </w:r>
            <w:r w:rsidRPr="000F72F8">
              <w:rPr>
                <w:rFonts w:asciiTheme="majorHAnsi" w:hAnsiTheme="majorHAnsi"/>
              </w:rPr>
              <w:lastRenderedPageBreak/>
              <w:t xml:space="preserve">tandsundhed og opretholdelse af mundhygiejne - forekomst manifestationer og </w:t>
            </w:r>
            <w:proofErr w:type="spellStart"/>
            <w:r w:rsidRPr="000F72F8">
              <w:rPr>
                <w:rFonts w:asciiTheme="majorHAnsi" w:hAnsiTheme="majorHAnsi"/>
              </w:rPr>
              <w:t>forøb</w:t>
            </w:r>
            <w:proofErr w:type="spellEnd"/>
            <w:r w:rsidRPr="000F72F8">
              <w:rPr>
                <w:rFonts w:asciiTheme="majorHAnsi" w:hAnsiTheme="majorHAnsi"/>
              </w:rPr>
              <w:t xml:space="preserve">,.herunder skizofreni, </w:t>
            </w:r>
            <w:r w:rsidR="00317F30">
              <w:rPr>
                <w:rFonts w:asciiTheme="majorHAnsi" w:hAnsiTheme="majorHAnsi"/>
              </w:rPr>
              <w:t xml:space="preserve">PTSD, </w:t>
            </w:r>
            <w:r w:rsidRPr="000F72F8">
              <w:rPr>
                <w:rFonts w:asciiTheme="majorHAnsi" w:hAnsiTheme="majorHAnsi"/>
              </w:rPr>
              <w:t>bipolare psykoser og depression, angsttilstande og personlighedsforstyrrelser </w:t>
            </w:r>
          </w:p>
        </w:tc>
        <w:tc>
          <w:tcPr>
            <w:tcW w:w="2127" w:type="dxa"/>
          </w:tcPr>
          <w:p w:rsidR="001B715A" w:rsidRPr="000F0F67" w:rsidRDefault="001B715A" w:rsidP="001B715A">
            <w:pPr>
              <w:rPr>
                <w:rFonts w:asciiTheme="majorHAnsi" w:hAnsiTheme="majorHAnsi"/>
              </w:rPr>
            </w:pPr>
          </w:p>
          <w:p w:rsidR="00D217AB" w:rsidRPr="000F0F67" w:rsidRDefault="00D217AB" w:rsidP="001B715A">
            <w:pPr>
              <w:rPr>
                <w:rFonts w:asciiTheme="majorHAnsi" w:hAnsiTheme="majorHAnsi"/>
              </w:rPr>
            </w:pPr>
          </w:p>
          <w:p w:rsidR="001B715A" w:rsidRPr="000F0F67" w:rsidRDefault="001B715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får en betydelig indsigt i de psykiatriske lidelser med betydning for tandsundhed og mundhygiejne</w:t>
            </w:r>
          </w:p>
        </w:tc>
      </w:tr>
      <w:tr w:rsidR="001B715A" w:rsidRPr="000F0F67" w:rsidTr="000F0F67">
        <w:tc>
          <w:tcPr>
            <w:tcW w:w="675" w:type="dxa"/>
            <w:vMerge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1B715A" w:rsidRPr="000F0F67" w:rsidRDefault="001B715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3118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1B715A" w:rsidRPr="000F0F67" w:rsidRDefault="001B715A" w:rsidP="00865C8A">
            <w:pPr>
              <w:rPr>
                <w:rFonts w:asciiTheme="majorHAnsi" w:hAnsiTheme="majorHAnsi"/>
              </w:rPr>
            </w:pPr>
          </w:p>
        </w:tc>
      </w:tr>
      <w:tr w:rsidR="00AA4E2A" w:rsidRPr="000F0F67" w:rsidTr="000F0F67">
        <w:tc>
          <w:tcPr>
            <w:tcW w:w="675" w:type="dxa"/>
            <w:vMerge/>
          </w:tcPr>
          <w:p w:rsidR="00AA4E2A" w:rsidRPr="000F0F67" w:rsidRDefault="00AA4E2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A4E2A" w:rsidRPr="000F0F67" w:rsidRDefault="00AA4E2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13.00</w:t>
            </w:r>
          </w:p>
        </w:tc>
        <w:tc>
          <w:tcPr>
            <w:tcW w:w="3118" w:type="dxa"/>
          </w:tcPr>
          <w:p w:rsidR="00AA4E2A" w:rsidRPr="000F0F67" w:rsidRDefault="00AA4E2A" w:rsidP="00AA4E2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Tandbehandling af patienter med psykiatriske lidelser og eventuelle andre følgetilstande herunder </w:t>
            </w:r>
            <w:proofErr w:type="spellStart"/>
            <w:r w:rsidRPr="000F0F67">
              <w:rPr>
                <w:rFonts w:asciiTheme="majorHAnsi" w:hAnsiTheme="majorHAnsi"/>
              </w:rPr>
              <w:t>schizofreni</w:t>
            </w:r>
            <w:proofErr w:type="spellEnd"/>
            <w:r w:rsidRPr="000F0F67">
              <w:rPr>
                <w:rFonts w:asciiTheme="majorHAnsi" w:hAnsiTheme="majorHAnsi"/>
              </w:rPr>
              <w:t>, psykoser</w:t>
            </w:r>
            <w:r w:rsidR="00317F30">
              <w:rPr>
                <w:rFonts w:asciiTheme="majorHAnsi" w:hAnsiTheme="majorHAnsi"/>
              </w:rPr>
              <w:t xml:space="preserve">, dobbeltdiagnoser </w:t>
            </w:r>
            <w:r w:rsidRPr="000F0F67">
              <w:rPr>
                <w:rFonts w:asciiTheme="majorHAnsi" w:hAnsiTheme="majorHAnsi"/>
              </w:rPr>
              <w:t xml:space="preserve"> og andre karakterafvigelser med særlig vægt på lidelser med betydning for tandsundhed og opretholdelse af mundhygiejne </w:t>
            </w:r>
          </w:p>
        </w:tc>
        <w:tc>
          <w:tcPr>
            <w:tcW w:w="2127" w:type="dxa"/>
          </w:tcPr>
          <w:p w:rsidR="00AA4E2A" w:rsidRPr="000F0F67" w:rsidRDefault="00AA4E2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317F30" w:rsidRDefault="00AA4E2A" w:rsidP="00AA4E2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Deltagerne får en betydelig indsigt i de tandlægefaglige udfordringer i forbindelse med psykiatriske sygdomme. </w:t>
            </w:r>
            <w:r w:rsidR="00317F30">
              <w:rPr>
                <w:rFonts w:asciiTheme="majorHAnsi" w:hAnsiTheme="majorHAnsi"/>
              </w:rPr>
              <w:t>Hvordan fungerer deres hjerne efter et langvarigt misbrug.</w:t>
            </w:r>
          </w:p>
          <w:p w:rsidR="00AA4E2A" w:rsidRDefault="00AA4E2A" w:rsidP="00AA4E2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gøres ved gennemgang af cases i stand til at gennemføre en tandlægefaglig vurdering af de mulige behandlingsmetoder</w:t>
            </w:r>
            <w:r w:rsidR="00317F30">
              <w:rPr>
                <w:rFonts w:asciiTheme="majorHAnsi" w:hAnsiTheme="majorHAnsi"/>
              </w:rPr>
              <w:t>.</w:t>
            </w:r>
          </w:p>
          <w:p w:rsidR="00317F30" w:rsidRPr="000F0F67" w:rsidRDefault="00317F30" w:rsidP="00AA4E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Der gives også bud på mulig behandlingsplanlægning</w:t>
            </w:r>
          </w:p>
        </w:tc>
      </w:tr>
      <w:tr w:rsidR="00AA4E2A" w:rsidRPr="000F0F67" w:rsidTr="000F0F67">
        <w:tc>
          <w:tcPr>
            <w:tcW w:w="675" w:type="dxa"/>
          </w:tcPr>
          <w:p w:rsidR="00AA4E2A" w:rsidRDefault="00AA4E2A" w:rsidP="00865C8A">
            <w:pPr>
              <w:jc w:val="center"/>
              <w:rPr>
                <w:rFonts w:asciiTheme="majorHAnsi" w:hAnsiTheme="majorHAnsi"/>
              </w:rPr>
            </w:pPr>
            <w:r w:rsidRPr="000A7E06">
              <w:rPr>
                <w:rFonts w:asciiTheme="majorHAnsi" w:hAnsiTheme="majorHAnsi"/>
              </w:rPr>
              <w:t>5</w:t>
            </w:r>
          </w:p>
          <w:p w:rsidR="000A7E06" w:rsidRPr="000A7E06" w:rsidRDefault="000A7E06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A4E2A" w:rsidRPr="000A7E06" w:rsidRDefault="00E00B14" w:rsidP="00865C8A">
            <w:pPr>
              <w:jc w:val="center"/>
              <w:rPr>
                <w:rFonts w:asciiTheme="majorHAnsi" w:hAnsiTheme="majorHAnsi"/>
              </w:rPr>
            </w:pPr>
            <w:r w:rsidRPr="000A7E06">
              <w:rPr>
                <w:rFonts w:asciiTheme="majorHAnsi" w:hAnsiTheme="majorHAnsi"/>
              </w:rPr>
              <w:t>09.00</w:t>
            </w:r>
          </w:p>
        </w:tc>
        <w:tc>
          <w:tcPr>
            <w:tcW w:w="3118" w:type="dxa"/>
          </w:tcPr>
          <w:p w:rsidR="00AA4E2A" w:rsidRPr="000A7E06" w:rsidRDefault="000A7E06" w:rsidP="00865C8A">
            <w:pPr>
              <w:rPr>
                <w:rFonts w:asciiTheme="majorHAnsi" w:hAnsiTheme="majorHAnsi"/>
              </w:rPr>
            </w:pPr>
            <w:r w:rsidRPr="000A7E06">
              <w:rPr>
                <w:rFonts w:asciiTheme="majorHAnsi" w:hAnsiTheme="majorHAnsi"/>
              </w:rPr>
              <w:t>Dobbeltdiagnoser.</w:t>
            </w:r>
          </w:p>
        </w:tc>
        <w:tc>
          <w:tcPr>
            <w:tcW w:w="2127" w:type="dxa"/>
          </w:tcPr>
          <w:p w:rsidR="00AA4E2A" w:rsidRPr="000A7E06" w:rsidRDefault="00AA4E2A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E00B14" w:rsidRPr="000A7E06" w:rsidRDefault="00E00B14" w:rsidP="000A7E06">
            <w:pPr>
              <w:spacing w:line="253" w:lineRule="atLeast"/>
              <w:rPr>
                <w:rFonts w:asciiTheme="majorHAnsi" w:hAnsiTheme="majorHAnsi"/>
              </w:rPr>
            </w:pPr>
            <w:r w:rsidRPr="000A7E06">
              <w:rPr>
                <w:rFonts w:asciiTheme="majorHAnsi" w:hAnsiTheme="majorHAnsi"/>
              </w:rPr>
              <w:t>Mennesker med misbrug – Afhængighe</w:t>
            </w:r>
            <w:r w:rsidR="000A7E06" w:rsidRPr="000A7E06">
              <w:rPr>
                <w:rFonts w:asciiTheme="majorHAnsi" w:hAnsiTheme="majorHAnsi"/>
              </w:rPr>
              <w:t>dens biologi - Behov for </w:t>
            </w:r>
            <w:r w:rsidRPr="000A7E06">
              <w:rPr>
                <w:rFonts w:asciiTheme="majorHAnsi" w:hAnsiTheme="majorHAnsi"/>
              </w:rPr>
              <w:t>professionel sygdomsforståelse som afsæt til de rigtige tandlægefaglige vurderinger</w:t>
            </w:r>
          </w:p>
        </w:tc>
      </w:tr>
      <w:tr w:rsidR="000A7E06" w:rsidRPr="000F0F67" w:rsidTr="000F0F67">
        <w:tc>
          <w:tcPr>
            <w:tcW w:w="675" w:type="dxa"/>
          </w:tcPr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  <w:r w:rsidRPr="000A7E06">
              <w:rPr>
                <w:rFonts w:ascii="Cambria" w:hAnsi="Cambria"/>
              </w:rPr>
              <w:t>12-13</w:t>
            </w:r>
          </w:p>
        </w:tc>
        <w:tc>
          <w:tcPr>
            <w:tcW w:w="3118" w:type="dxa"/>
          </w:tcPr>
          <w:p w:rsidR="000A7E06" w:rsidRPr="000A7E06" w:rsidRDefault="000A7E06" w:rsidP="00865C8A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0A7E06" w:rsidRPr="000A7E06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A7E06" w:rsidRPr="000A7E06" w:rsidRDefault="000A7E06" w:rsidP="000A7E06">
            <w:pPr>
              <w:spacing w:line="253" w:lineRule="atLeast"/>
              <w:rPr>
                <w:rFonts w:ascii="Cambria" w:hAnsi="Cambria"/>
              </w:rPr>
            </w:pPr>
          </w:p>
        </w:tc>
      </w:tr>
      <w:tr w:rsidR="000A7E06" w:rsidRPr="000F0F67" w:rsidTr="000F0F67">
        <w:tc>
          <w:tcPr>
            <w:tcW w:w="675" w:type="dxa"/>
          </w:tcPr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  <w:r w:rsidRPr="000A7E06">
              <w:rPr>
                <w:rFonts w:ascii="Cambria" w:hAnsi="Cambria"/>
              </w:rPr>
              <w:t>13.00</w:t>
            </w:r>
          </w:p>
        </w:tc>
        <w:tc>
          <w:tcPr>
            <w:tcW w:w="3118" w:type="dxa"/>
          </w:tcPr>
          <w:p w:rsidR="000A7E06" w:rsidRPr="000A7E06" w:rsidRDefault="000A7E06" w:rsidP="00865C8A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0A7E06" w:rsidRPr="000A7E06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A7E06" w:rsidRPr="000A7E06" w:rsidRDefault="000A7E06" w:rsidP="000A7E06">
            <w:pPr>
              <w:spacing w:line="253" w:lineRule="atLeast"/>
              <w:rPr>
                <w:rFonts w:ascii="Cambria" w:hAnsi="Cambria"/>
              </w:rPr>
            </w:pPr>
            <w:r w:rsidRPr="000A7E06">
              <w:rPr>
                <w:rFonts w:ascii="Cambria" w:hAnsi="Cambria"/>
              </w:rPr>
              <w:t>Deltagerne oplever et vidnesbyrd og får derigennem indsigt i et liv med diagnoser og misbrug</w:t>
            </w:r>
          </w:p>
          <w:p w:rsidR="000A7E06" w:rsidRPr="000A7E06" w:rsidRDefault="000A7E06" w:rsidP="000A7E06">
            <w:pPr>
              <w:spacing w:line="253" w:lineRule="atLeast"/>
              <w:rPr>
                <w:rFonts w:ascii="Cambria" w:hAnsi="Cambria"/>
              </w:rPr>
            </w:pPr>
          </w:p>
          <w:p w:rsidR="000A7E06" w:rsidRPr="000A7E06" w:rsidRDefault="000A7E06" w:rsidP="000A7E06">
            <w:pPr>
              <w:spacing w:line="253" w:lineRule="atLeast"/>
              <w:rPr>
                <w:rFonts w:ascii="Cambria" w:hAnsi="Cambria"/>
              </w:rPr>
            </w:pPr>
            <w:r w:rsidRPr="000A7E06">
              <w:rPr>
                <w:rFonts w:ascii="Cambria" w:hAnsi="Cambria"/>
              </w:rPr>
              <w:t> </w:t>
            </w:r>
          </w:p>
          <w:p w:rsidR="000A7E06" w:rsidRPr="000A7E06" w:rsidRDefault="000A7E06" w:rsidP="000A7E06">
            <w:pPr>
              <w:spacing w:line="253" w:lineRule="atLeast"/>
              <w:rPr>
                <w:rFonts w:ascii="Cambria" w:hAnsi="Cambria"/>
              </w:rPr>
            </w:pPr>
          </w:p>
        </w:tc>
      </w:tr>
      <w:tr w:rsidR="000A7E06" w:rsidRPr="000F0F67" w:rsidTr="000F0F67">
        <w:tc>
          <w:tcPr>
            <w:tcW w:w="675" w:type="dxa"/>
          </w:tcPr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0A7E06" w:rsidRPr="000A7E06" w:rsidRDefault="000A7E06" w:rsidP="00865C8A">
            <w:pPr>
              <w:jc w:val="center"/>
              <w:rPr>
                <w:rFonts w:ascii="Cambria" w:hAnsi="Cambria"/>
              </w:rPr>
            </w:pPr>
            <w:r w:rsidRPr="000A7E06">
              <w:rPr>
                <w:rFonts w:ascii="Cambria" w:hAnsi="Cambria"/>
              </w:rPr>
              <w:t>14.00-16.00</w:t>
            </w:r>
          </w:p>
        </w:tc>
        <w:tc>
          <w:tcPr>
            <w:tcW w:w="3118" w:type="dxa"/>
          </w:tcPr>
          <w:p w:rsidR="000A7E06" w:rsidRPr="000A7E06" w:rsidRDefault="000A7E06" w:rsidP="00865C8A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:rsidR="000A7E06" w:rsidRPr="000A7E06" w:rsidRDefault="000A7E06" w:rsidP="0000752F">
            <w:pPr>
              <w:spacing w:line="253" w:lineRule="atLeast"/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A7E06" w:rsidRPr="000A7E06" w:rsidRDefault="000A7E06" w:rsidP="000A7E06">
            <w:pPr>
              <w:spacing w:line="253" w:lineRule="atLeast"/>
              <w:rPr>
                <w:rFonts w:ascii="Cambria" w:hAnsi="Cambria"/>
              </w:rPr>
            </w:pPr>
          </w:p>
        </w:tc>
      </w:tr>
    </w:tbl>
    <w:p w:rsidR="005017EA" w:rsidRPr="000F0F67" w:rsidRDefault="005017EA" w:rsidP="005017EA">
      <w:pPr>
        <w:rPr>
          <w:rFonts w:asciiTheme="majorHAnsi" w:hAnsiTheme="majorHAnsi"/>
        </w:rPr>
      </w:pPr>
      <w:r w:rsidRPr="000F0F67">
        <w:rPr>
          <w:rFonts w:asciiTheme="majorHAnsi" w:hAnsiTheme="majorHAnsi"/>
        </w:rPr>
        <w:br w:type="page"/>
      </w:r>
    </w:p>
    <w:tbl>
      <w:tblPr>
        <w:tblStyle w:val="Tabel-Gitter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976"/>
        <w:gridCol w:w="2127"/>
        <w:gridCol w:w="7512"/>
      </w:tblGrid>
      <w:tr w:rsidR="005017EA" w:rsidRPr="000F0F67" w:rsidTr="00865C8A">
        <w:tc>
          <w:tcPr>
            <w:tcW w:w="14283" w:type="dxa"/>
            <w:gridSpan w:val="5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lastRenderedPageBreak/>
              <w:t>MODUL 3: DKTE i special</w:t>
            </w:r>
            <w:r w:rsidR="00317F30">
              <w:rPr>
                <w:rFonts w:asciiTheme="majorHAnsi" w:hAnsiTheme="majorHAnsi"/>
                <w:b/>
              </w:rPr>
              <w:t xml:space="preserve">, social </w:t>
            </w:r>
            <w:r w:rsidRPr="000F0F67">
              <w:rPr>
                <w:rFonts w:asciiTheme="majorHAnsi" w:hAnsiTheme="majorHAnsi"/>
                <w:b/>
              </w:rPr>
              <w:t>- og omsorgstandpleje</w:t>
            </w:r>
            <w:r w:rsidR="00317F3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017EA" w:rsidRPr="000F0F67" w:rsidTr="000F0F67">
        <w:tc>
          <w:tcPr>
            <w:tcW w:w="675" w:type="dxa"/>
          </w:tcPr>
          <w:p w:rsidR="005017EA" w:rsidRPr="000F0F67" w:rsidRDefault="005017EA" w:rsidP="00F257E3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Da</w:t>
            </w:r>
            <w:r w:rsidR="00F257E3" w:rsidRPr="000F0F67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993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Tid</w:t>
            </w:r>
          </w:p>
        </w:tc>
        <w:tc>
          <w:tcPr>
            <w:tcW w:w="2976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Emne</w:t>
            </w:r>
          </w:p>
        </w:tc>
        <w:tc>
          <w:tcPr>
            <w:tcW w:w="2127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Oplægsholder</w:t>
            </w:r>
          </w:p>
        </w:tc>
        <w:tc>
          <w:tcPr>
            <w:tcW w:w="7512" w:type="dxa"/>
          </w:tcPr>
          <w:p w:rsidR="005017EA" w:rsidRPr="000F0F67" w:rsidRDefault="005017EA" w:rsidP="00865C8A">
            <w:pPr>
              <w:rPr>
                <w:rFonts w:asciiTheme="majorHAnsi" w:hAnsiTheme="majorHAnsi"/>
                <w:b/>
              </w:rPr>
            </w:pPr>
            <w:r w:rsidRPr="000F0F67">
              <w:rPr>
                <w:rFonts w:asciiTheme="majorHAnsi" w:hAnsiTheme="majorHAnsi"/>
                <w:b/>
              </w:rPr>
              <w:t>Kundskabsmål</w:t>
            </w:r>
          </w:p>
        </w:tc>
      </w:tr>
      <w:tr w:rsidR="005017EA" w:rsidRPr="000F0F67" w:rsidTr="000F0F67">
        <w:tc>
          <w:tcPr>
            <w:tcW w:w="675" w:type="dxa"/>
            <w:vMerge w:val="restart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</w:t>
            </w:r>
          </w:p>
        </w:tc>
        <w:tc>
          <w:tcPr>
            <w:tcW w:w="993" w:type="dxa"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9.00</w:t>
            </w:r>
          </w:p>
        </w:tc>
        <w:tc>
          <w:tcPr>
            <w:tcW w:w="2976" w:type="dxa"/>
          </w:tcPr>
          <w:p w:rsidR="005017EA" w:rsidRPr="000F0F67" w:rsidRDefault="00BC1BFB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Sår på sjælen – betydning for kooperation i behandlingssituationen</w:t>
            </w:r>
          </w:p>
        </w:tc>
        <w:tc>
          <w:tcPr>
            <w:tcW w:w="2127" w:type="dxa"/>
          </w:tcPr>
          <w:p w:rsidR="005017EA" w:rsidRPr="000F0F67" w:rsidRDefault="003E32BF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Tandlæge </w:t>
            </w:r>
            <w:r w:rsidR="00BC1BFB" w:rsidRPr="000F0F67">
              <w:rPr>
                <w:rFonts w:asciiTheme="majorHAnsi" w:hAnsiTheme="majorHAnsi"/>
              </w:rPr>
              <w:t>Katja Kirk</w:t>
            </w:r>
          </w:p>
        </w:tc>
        <w:tc>
          <w:tcPr>
            <w:tcW w:w="7512" w:type="dxa"/>
          </w:tcPr>
          <w:p w:rsidR="005017EA" w:rsidRPr="000F0F67" w:rsidRDefault="00BC1BFB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bibringes teori om traumeforståelse og brugen heraf i en hensyntagende klinisk praksis</w:t>
            </w:r>
          </w:p>
        </w:tc>
      </w:tr>
      <w:tr w:rsidR="005017EA" w:rsidRPr="000F0F67" w:rsidTr="000F0F67">
        <w:tc>
          <w:tcPr>
            <w:tcW w:w="675" w:type="dxa"/>
            <w:vMerge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5017EA" w:rsidRPr="000F0F67" w:rsidRDefault="000D3AB0" w:rsidP="000D3AB0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10</w:t>
            </w:r>
            <w:r w:rsidR="005017EA" w:rsidRPr="000F0F67">
              <w:rPr>
                <w:rFonts w:asciiTheme="majorHAnsi" w:hAnsiTheme="majorHAnsi"/>
              </w:rPr>
              <w:t>.</w:t>
            </w:r>
            <w:r w:rsidRPr="000F0F67">
              <w:rPr>
                <w:rFonts w:asciiTheme="majorHAnsi" w:hAnsiTheme="majorHAnsi"/>
              </w:rPr>
              <w:t>3</w:t>
            </w:r>
            <w:r w:rsidR="005017EA" w:rsidRPr="000F0F67">
              <w:rPr>
                <w:rFonts w:asciiTheme="majorHAnsi" w:hAnsiTheme="majorHAnsi"/>
              </w:rPr>
              <w:t>0</w:t>
            </w:r>
          </w:p>
        </w:tc>
        <w:tc>
          <w:tcPr>
            <w:tcW w:w="2976" w:type="dxa"/>
          </w:tcPr>
          <w:p w:rsidR="005017EA" w:rsidRPr="000F0F67" w:rsidRDefault="005017EA" w:rsidP="00734B09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Kommunikative</w:t>
            </w:r>
            <w:r w:rsidR="000D3AB0" w:rsidRPr="000F0F67">
              <w:rPr>
                <w:rFonts w:asciiTheme="majorHAnsi" w:hAnsiTheme="majorHAnsi"/>
              </w:rPr>
              <w:t xml:space="preserve"> </w:t>
            </w:r>
            <w:r w:rsidRPr="000F0F67">
              <w:rPr>
                <w:rFonts w:asciiTheme="majorHAnsi" w:hAnsiTheme="majorHAnsi"/>
              </w:rPr>
              <w:t>værktøjer ti</w:t>
            </w:r>
            <w:r w:rsidR="00734B09" w:rsidRPr="000F0F67">
              <w:rPr>
                <w:rFonts w:asciiTheme="majorHAnsi" w:hAnsiTheme="majorHAnsi"/>
              </w:rPr>
              <w:t xml:space="preserve">l brug for kontakt med udviklingshæmmede patienter, </w:t>
            </w:r>
            <w:r w:rsidR="000D3AB0" w:rsidRPr="000F0F67">
              <w:rPr>
                <w:rFonts w:asciiTheme="majorHAnsi" w:hAnsiTheme="majorHAnsi"/>
              </w:rPr>
              <w:t>som ikke har et sprog</w:t>
            </w:r>
          </w:p>
        </w:tc>
        <w:tc>
          <w:tcPr>
            <w:tcW w:w="2127" w:type="dxa"/>
          </w:tcPr>
          <w:p w:rsidR="005017EA" w:rsidRPr="000F0F67" w:rsidRDefault="005017EA" w:rsidP="00D217AB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</w:t>
            </w:r>
            <w:r w:rsidR="00B66DE6" w:rsidRPr="000F0F67">
              <w:rPr>
                <w:rFonts w:asciiTheme="majorHAnsi" w:hAnsiTheme="majorHAnsi"/>
              </w:rPr>
              <w:t>ltagerne gives indsigt i metode</w:t>
            </w:r>
            <w:r w:rsidRPr="000F0F67">
              <w:rPr>
                <w:rFonts w:asciiTheme="majorHAnsi" w:hAnsiTheme="majorHAnsi"/>
              </w:rPr>
              <w:t xml:space="preserve"> til at etablere kontakt med udviklingshæmmede patienter</w:t>
            </w:r>
            <w:r w:rsidR="00B66DE6" w:rsidRPr="000F0F67">
              <w:rPr>
                <w:rFonts w:asciiTheme="majorHAnsi" w:hAnsiTheme="majorHAnsi"/>
              </w:rPr>
              <w:t xml:space="preserve"> uden sprog</w:t>
            </w:r>
            <w:r w:rsidRPr="000F0F67">
              <w:rPr>
                <w:rFonts w:asciiTheme="majorHAnsi" w:hAnsiTheme="majorHAnsi"/>
              </w:rPr>
              <w:t>. Der gives en indføring i de færdigheder, der kræves ved anvendelse af de</w:t>
            </w:r>
            <w:r w:rsidR="00B66DE6" w:rsidRPr="000F0F67">
              <w:rPr>
                <w:rFonts w:asciiTheme="majorHAnsi" w:hAnsiTheme="majorHAnsi"/>
              </w:rPr>
              <w:t>t</w:t>
            </w:r>
            <w:r w:rsidRPr="000F0F67">
              <w:rPr>
                <w:rFonts w:asciiTheme="majorHAnsi" w:hAnsiTheme="majorHAnsi"/>
              </w:rPr>
              <w:t xml:space="preserve"> kommunikative værktøjer, og der anvises veje til at opnå basale og videregående færdigheder</w:t>
            </w:r>
          </w:p>
        </w:tc>
      </w:tr>
      <w:tr w:rsidR="005017EA" w:rsidRPr="000F0F67" w:rsidTr="000F0F67">
        <w:tc>
          <w:tcPr>
            <w:tcW w:w="675" w:type="dxa"/>
            <w:vMerge/>
          </w:tcPr>
          <w:p w:rsidR="005017EA" w:rsidRPr="000F0F67" w:rsidRDefault="005017EA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5017EA" w:rsidRPr="000F0F67" w:rsidRDefault="000D3AB0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12.3</w:t>
            </w:r>
            <w:r w:rsidR="005017EA" w:rsidRPr="000F0F67">
              <w:rPr>
                <w:rFonts w:asciiTheme="majorHAnsi" w:hAnsiTheme="majorHAnsi"/>
              </w:rPr>
              <w:t>0</w:t>
            </w:r>
          </w:p>
        </w:tc>
        <w:tc>
          <w:tcPr>
            <w:tcW w:w="2976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5017EA" w:rsidRPr="000F0F67" w:rsidRDefault="005017EA" w:rsidP="00865C8A">
            <w:pPr>
              <w:rPr>
                <w:rFonts w:asciiTheme="majorHAnsi" w:hAnsiTheme="majorHAnsi"/>
              </w:rPr>
            </w:pPr>
          </w:p>
        </w:tc>
      </w:tr>
      <w:tr w:rsidR="00277C1C" w:rsidRPr="000F0F67" w:rsidTr="000F0F67">
        <w:tc>
          <w:tcPr>
            <w:tcW w:w="675" w:type="dxa"/>
            <w:vMerge/>
          </w:tcPr>
          <w:p w:rsidR="00277C1C" w:rsidRPr="000F0F67" w:rsidRDefault="00277C1C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277C1C" w:rsidRPr="000F0F67" w:rsidRDefault="00277C1C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 xml:space="preserve">13.30 </w:t>
            </w:r>
          </w:p>
        </w:tc>
        <w:tc>
          <w:tcPr>
            <w:tcW w:w="2976" w:type="dxa"/>
          </w:tcPr>
          <w:p w:rsidR="00277C1C" w:rsidRPr="000F0F67" w:rsidRDefault="00734B09" w:rsidP="00B66DE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Kommunikation med psykisk sårbare</w:t>
            </w:r>
          </w:p>
        </w:tc>
        <w:tc>
          <w:tcPr>
            <w:tcW w:w="2127" w:type="dxa"/>
          </w:tcPr>
          <w:p w:rsidR="00277C1C" w:rsidRPr="000F0F67" w:rsidRDefault="00277C1C" w:rsidP="00277C1C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277C1C" w:rsidRPr="000F0F67" w:rsidRDefault="00277C1C" w:rsidP="00B66DE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bibringes indsigt i ko</w:t>
            </w:r>
            <w:r w:rsidR="00734B09" w:rsidRPr="000F0F67">
              <w:rPr>
                <w:rFonts w:asciiTheme="majorHAnsi" w:hAnsiTheme="majorHAnsi"/>
              </w:rPr>
              <w:t>mmunikativ hensyntagen ved kommunikationen</w:t>
            </w:r>
            <w:r w:rsidRPr="000F0F67">
              <w:rPr>
                <w:rFonts w:asciiTheme="majorHAnsi" w:hAnsiTheme="majorHAnsi"/>
              </w:rPr>
              <w:t xml:space="preserve"> med psykisk sårbare </w:t>
            </w:r>
          </w:p>
        </w:tc>
      </w:tr>
      <w:tr w:rsidR="00277C1C" w:rsidRPr="000F0F67" w:rsidTr="000F0F67">
        <w:tc>
          <w:tcPr>
            <w:tcW w:w="675" w:type="dxa"/>
            <w:vMerge/>
          </w:tcPr>
          <w:p w:rsidR="00277C1C" w:rsidRPr="000F0F67" w:rsidRDefault="00277C1C" w:rsidP="00865C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277C1C" w:rsidRPr="000F0F67" w:rsidRDefault="00277C1C" w:rsidP="00865C8A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15.00</w:t>
            </w:r>
          </w:p>
        </w:tc>
        <w:tc>
          <w:tcPr>
            <w:tcW w:w="2976" w:type="dxa"/>
          </w:tcPr>
          <w:p w:rsidR="00277C1C" w:rsidRPr="000F0F67" w:rsidRDefault="00277C1C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Beskyttelses og belastningsfaktorer i arbejdet med special- og omsorgstandplejens patienter</w:t>
            </w:r>
            <w:r w:rsidR="00341344">
              <w:rPr>
                <w:rFonts w:asciiTheme="majorHAnsi" w:hAnsiTheme="majorHAnsi"/>
              </w:rPr>
              <w:t>. Konfliktnedtrapning</w:t>
            </w:r>
          </w:p>
        </w:tc>
        <w:tc>
          <w:tcPr>
            <w:tcW w:w="2127" w:type="dxa"/>
          </w:tcPr>
          <w:p w:rsidR="00277C1C" w:rsidRPr="000F0F67" w:rsidRDefault="00277C1C" w:rsidP="0000752F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277C1C" w:rsidRPr="000F0F67" w:rsidRDefault="00277C1C" w:rsidP="00865C8A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Deltagerne lærer at forstå de påvirkninger behandleren er udsat for gennem arbejdet med disse patientgruppe</w:t>
            </w:r>
            <w:r w:rsidR="0008426F" w:rsidRPr="000F0F67">
              <w:rPr>
                <w:rFonts w:asciiTheme="majorHAnsi" w:hAnsiTheme="majorHAnsi"/>
              </w:rPr>
              <w:t>r</w:t>
            </w:r>
            <w:r w:rsidRPr="000F0F67">
              <w:rPr>
                <w:rFonts w:asciiTheme="majorHAnsi" w:hAnsiTheme="majorHAnsi"/>
              </w:rPr>
              <w:t>, ligesom deltagerne lærer at passe på sig selv</w:t>
            </w:r>
          </w:p>
        </w:tc>
      </w:tr>
      <w:tr w:rsidR="000A7E06" w:rsidRPr="000F0F67" w:rsidTr="000F0F67">
        <w:tc>
          <w:tcPr>
            <w:tcW w:w="675" w:type="dxa"/>
            <w:vMerge w:val="restart"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93" w:type="dxa"/>
          </w:tcPr>
          <w:p w:rsidR="000A7E06" w:rsidRPr="00B04524" w:rsidRDefault="00DF14D4" w:rsidP="00DF14D4">
            <w:pPr>
              <w:rPr>
                <w:rFonts w:ascii="Cambria" w:hAnsi="Cambria"/>
                <w:color w:val="000000" w:themeColor="text1"/>
              </w:rPr>
            </w:pPr>
            <w:r w:rsidRPr="00B04524">
              <w:rPr>
                <w:rFonts w:ascii="Cambria" w:hAnsi="Cambria"/>
                <w:color w:val="000000" w:themeColor="text1"/>
              </w:rPr>
              <w:t>0</w:t>
            </w:r>
            <w:r w:rsidR="000A7E06" w:rsidRPr="00B04524">
              <w:rPr>
                <w:rFonts w:ascii="Cambria" w:hAnsi="Cambria"/>
                <w:color w:val="000000" w:themeColor="text1"/>
              </w:rPr>
              <w:t>9.00</w:t>
            </w:r>
          </w:p>
        </w:tc>
        <w:tc>
          <w:tcPr>
            <w:tcW w:w="2976" w:type="dxa"/>
          </w:tcPr>
          <w:p w:rsidR="00B04524" w:rsidRPr="00B04524" w:rsidRDefault="000A7E06" w:rsidP="00B04524">
            <w:pPr>
              <w:rPr>
                <w:rFonts w:ascii="Cambria" w:hAnsi="Cambria"/>
                <w:color w:val="000000" w:themeColor="text1"/>
              </w:rPr>
            </w:pPr>
            <w:proofErr w:type="spellStart"/>
            <w:r w:rsidRPr="00B04524">
              <w:rPr>
                <w:rFonts w:ascii="Cambria" w:hAnsi="Cambria"/>
                <w:color w:val="000000" w:themeColor="text1"/>
              </w:rPr>
              <w:t>Analgesi</w:t>
            </w:r>
            <w:proofErr w:type="spellEnd"/>
            <w:r w:rsidRPr="00B04524">
              <w:rPr>
                <w:rFonts w:ascii="Cambria" w:hAnsi="Cambria"/>
                <w:color w:val="000000" w:themeColor="text1"/>
              </w:rPr>
              <w:t>, narkose, sedation og anæstesi</w:t>
            </w:r>
            <w:r w:rsidR="00B04524" w:rsidRPr="00B04524">
              <w:rPr>
                <w:rFonts w:ascii="Cambria" w:hAnsi="Cambria"/>
                <w:color w:val="000000" w:themeColor="text1"/>
              </w:rPr>
              <w:t xml:space="preserve"> af </w:t>
            </w:r>
            <w:r w:rsidR="00B04524">
              <w:rPr>
                <w:rFonts w:ascii="Cambria" w:hAnsi="Cambria"/>
                <w:color w:val="000000" w:themeColor="text1"/>
              </w:rPr>
              <w:t>s</w:t>
            </w:r>
            <w:r w:rsidR="00B04524" w:rsidRPr="00B04524">
              <w:rPr>
                <w:rFonts w:ascii="Cambria" w:hAnsi="Cambria"/>
                <w:color w:val="000000" w:themeColor="text1"/>
              </w:rPr>
              <w:t>pecial, omsorgs og socialpatienter</w:t>
            </w:r>
          </w:p>
          <w:p w:rsidR="000A7E06" w:rsidRPr="00B04524" w:rsidRDefault="000A7E06" w:rsidP="000A7E06">
            <w:pPr>
              <w:rPr>
                <w:rFonts w:ascii="Cambria" w:hAnsi="Cambria"/>
                <w:color w:val="000000" w:themeColor="text1"/>
              </w:rPr>
            </w:pPr>
            <w:r w:rsidRPr="00B04524">
              <w:rPr>
                <w:rFonts w:ascii="Cambria" w:hAnsi="Cambria"/>
                <w:color w:val="000000" w:themeColor="text1"/>
              </w:rPr>
              <w:t>hvornår og hvordan</w:t>
            </w:r>
          </w:p>
        </w:tc>
        <w:tc>
          <w:tcPr>
            <w:tcW w:w="2127" w:type="dxa"/>
          </w:tcPr>
          <w:p w:rsidR="000A7E06" w:rsidRPr="00DF14D4" w:rsidRDefault="000A7E06" w:rsidP="000A7E06">
            <w:pPr>
              <w:rPr>
                <w:rFonts w:ascii="Cambria" w:hAnsi="Cambria"/>
              </w:rPr>
            </w:pPr>
          </w:p>
          <w:p w:rsidR="000A7E06" w:rsidRPr="00DF14D4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A7E06" w:rsidRPr="00DF14D4" w:rsidRDefault="00DF14D4" w:rsidP="00B04524">
            <w:pPr>
              <w:rPr>
                <w:rFonts w:ascii="Cambria" w:hAnsi="Cambria"/>
              </w:rPr>
            </w:pPr>
            <w:r w:rsidRPr="00DF14D4">
              <w:rPr>
                <w:rFonts w:ascii="Cambria" w:hAnsi="Cambria"/>
              </w:rPr>
              <w:t xml:space="preserve">Deltagerne får en betydelig indsigt i valg af </w:t>
            </w:r>
            <w:proofErr w:type="spellStart"/>
            <w:r w:rsidRPr="00DF14D4">
              <w:rPr>
                <w:rFonts w:ascii="Cambria" w:hAnsi="Cambria"/>
              </w:rPr>
              <w:t>analgesi</w:t>
            </w:r>
            <w:proofErr w:type="spellEnd"/>
            <w:r w:rsidRPr="00DF14D4">
              <w:rPr>
                <w:rFonts w:ascii="Cambria" w:hAnsi="Cambria"/>
              </w:rPr>
              <w:t xml:space="preserve"> og </w:t>
            </w:r>
            <w:proofErr w:type="spellStart"/>
            <w:r w:rsidRPr="00DF14D4">
              <w:rPr>
                <w:rFonts w:ascii="Cambria" w:hAnsi="Cambria"/>
              </w:rPr>
              <w:t>sedations</w:t>
            </w:r>
            <w:proofErr w:type="spellEnd"/>
            <w:r w:rsidRPr="00DF14D4">
              <w:rPr>
                <w:rFonts w:ascii="Cambria" w:hAnsi="Cambria"/>
              </w:rPr>
              <w:t xml:space="preserve"> midler til omsorgs- og specialtandplejepatienter herunder hvornår anæstesi bør vælges. Deltagerne får indsigt i de overvejelser, der skal gøres, i relation til samspil med patientens øvrige medicinering.</w:t>
            </w: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0A7E06" w:rsidP="00DF14D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</w:t>
            </w:r>
          </w:p>
        </w:tc>
        <w:tc>
          <w:tcPr>
            <w:tcW w:w="2976" w:type="dxa"/>
          </w:tcPr>
          <w:p w:rsidR="000A7E06" w:rsidRPr="00DF14D4" w:rsidRDefault="000A7E06" w:rsidP="000A7E06">
            <w:pPr>
              <w:rPr>
                <w:rFonts w:ascii="Cambria" w:hAnsi="Cambria"/>
              </w:rPr>
            </w:pPr>
            <w:r w:rsidRPr="00DF14D4">
              <w:rPr>
                <w:rFonts w:ascii="Cambria" w:hAnsi="Cambria"/>
              </w:rPr>
              <w:t>Odontologiske aspekter og erfaringer  med sedation og generel anæstesi</w:t>
            </w:r>
          </w:p>
        </w:tc>
        <w:tc>
          <w:tcPr>
            <w:tcW w:w="2127" w:type="dxa"/>
          </w:tcPr>
          <w:p w:rsidR="000A7E06" w:rsidRPr="00DF14D4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DF14D4" w:rsidRPr="00DF14D4" w:rsidRDefault="00DF14D4" w:rsidP="00DF14D4">
            <w:pPr>
              <w:spacing w:line="253" w:lineRule="atLeast"/>
              <w:rPr>
                <w:rFonts w:ascii="Cambria" w:hAnsi="Cambria"/>
              </w:rPr>
            </w:pPr>
            <w:r w:rsidRPr="00DF14D4">
              <w:rPr>
                <w:rFonts w:ascii="Cambria" w:hAnsi="Cambria"/>
              </w:rPr>
              <w:t xml:space="preserve">Gennem patientcases lærer deltagerne om tandlægefaglige muligheder og udfordringer, når man planlægger sedation og anæstesi </w:t>
            </w:r>
          </w:p>
          <w:p w:rsidR="000A7E06" w:rsidRPr="00DF14D4" w:rsidRDefault="000A7E06" w:rsidP="000A7E06">
            <w:pPr>
              <w:rPr>
                <w:rFonts w:ascii="Cambria" w:hAnsi="Cambria"/>
              </w:rPr>
            </w:pP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2976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0A7E06" w:rsidP="00DF14D4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13.00</w:t>
            </w:r>
          </w:p>
        </w:tc>
        <w:tc>
          <w:tcPr>
            <w:tcW w:w="2976" w:type="dxa"/>
          </w:tcPr>
          <w:p w:rsidR="000A7E06" w:rsidRPr="00DF14D4" w:rsidRDefault="00DF14D4" w:rsidP="000A7E06">
            <w:pPr>
              <w:rPr>
                <w:rFonts w:asciiTheme="majorHAnsi" w:hAnsiTheme="majorHAnsi"/>
              </w:rPr>
            </w:pPr>
            <w:r w:rsidRPr="00DF14D4">
              <w:rPr>
                <w:rFonts w:asciiTheme="majorHAnsi" w:hAnsiTheme="majorHAnsi"/>
              </w:rPr>
              <w:t>Samtykke og tvangslov</w:t>
            </w:r>
          </w:p>
        </w:tc>
        <w:tc>
          <w:tcPr>
            <w:tcW w:w="2127" w:type="dxa"/>
          </w:tcPr>
          <w:p w:rsidR="000A7E06" w:rsidRPr="00DF14D4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0A7E06" w:rsidRPr="00B04524" w:rsidRDefault="00DF14D4" w:rsidP="00B04524">
            <w:pPr>
              <w:rPr>
                <w:rFonts w:asciiTheme="majorHAnsi" w:hAnsiTheme="majorHAnsi"/>
                <w:color w:val="000000" w:themeColor="text1"/>
              </w:rPr>
            </w:pPr>
            <w:r w:rsidRPr="00B04524">
              <w:rPr>
                <w:rFonts w:asciiTheme="majorHAnsi" w:hAnsiTheme="majorHAnsi"/>
                <w:color w:val="000000" w:themeColor="text1"/>
              </w:rPr>
              <w:t>Typer a</w:t>
            </w:r>
            <w:r w:rsidR="00B04524" w:rsidRPr="00B04524">
              <w:rPr>
                <w:rFonts w:asciiTheme="majorHAnsi" w:hAnsiTheme="majorHAnsi"/>
                <w:color w:val="000000" w:themeColor="text1"/>
              </w:rPr>
              <w:t>f samtykke, tvangslov og regler. Gennemgang af tandlægens pligter og handlemuligheder,  u</w:t>
            </w:r>
            <w:r w:rsidRPr="00B04524">
              <w:rPr>
                <w:rFonts w:asciiTheme="majorHAnsi" w:hAnsiTheme="majorHAnsi"/>
                <w:color w:val="000000" w:themeColor="text1"/>
              </w:rPr>
              <w:t>nderstøttes af patientcases</w:t>
            </w: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15.00</w:t>
            </w:r>
          </w:p>
        </w:tc>
        <w:tc>
          <w:tcPr>
            <w:tcW w:w="2976" w:type="dxa"/>
          </w:tcPr>
          <w:p w:rsidR="00DF14D4" w:rsidRPr="00DF14D4" w:rsidRDefault="00DF14D4" w:rsidP="00DF14D4">
            <w:pPr>
              <w:rPr>
                <w:rFonts w:asciiTheme="majorHAnsi" w:hAnsiTheme="majorHAnsi"/>
              </w:rPr>
            </w:pPr>
            <w:r w:rsidRPr="00DF14D4">
              <w:rPr>
                <w:rFonts w:asciiTheme="majorHAnsi" w:hAnsiTheme="majorHAnsi"/>
              </w:rPr>
              <w:t>Kompr</w:t>
            </w:r>
            <w:r>
              <w:rPr>
                <w:rFonts w:asciiTheme="majorHAnsi" w:hAnsiTheme="majorHAnsi"/>
              </w:rPr>
              <w:t>omisbehandlinger og klagesystem.</w:t>
            </w:r>
          </w:p>
          <w:p w:rsidR="000A7E06" w:rsidRPr="00DF14D4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0A7E06" w:rsidRPr="00DF14D4" w:rsidRDefault="000A7E06" w:rsidP="00DF14D4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0A7E06" w:rsidRPr="00DF14D4" w:rsidRDefault="00DF14D4" w:rsidP="00B04524">
            <w:pPr>
              <w:spacing w:line="253" w:lineRule="atLeast"/>
              <w:rPr>
                <w:rFonts w:asciiTheme="majorHAnsi" w:hAnsiTheme="majorHAnsi"/>
              </w:rPr>
            </w:pPr>
            <w:r w:rsidRPr="00DF14D4">
              <w:rPr>
                <w:rFonts w:asciiTheme="majorHAnsi" w:hAnsiTheme="majorHAnsi"/>
              </w:rPr>
              <w:t>Deltagerne gives indsi</w:t>
            </w:r>
            <w:r w:rsidR="00B04524">
              <w:rPr>
                <w:rFonts w:asciiTheme="majorHAnsi" w:hAnsiTheme="majorHAnsi"/>
              </w:rPr>
              <w:t>gt i klagesystemets opbygning, G</w:t>
            </w:r>
            <w:r w:rsidRPr="00DF14D4">
              <w:rPr>
                <w:rFonts w:asciiTheme="majorHAnsi" w:hAnsiTheme="majorHAnsi"/>
              </w:rPr>
              <w:t>ennem</w:t>
            </w:r>
            <w:r w:rsidR="00B04524">
              <w:rPr>
                <w:rFonts w:asciiTheme="majorHAnsi" w:hAnsiTheme="majorHAnsi"/>
              </w:rPr>
              <w:t xml:space="preserve"> eksempler videreformidles viden om opmærksomhedspunkter til</w:t>
            </w:r>
            <w:r w:rsidRPr="00DF14D4">
              <w:rPr>
                <w:rFonts w:asciiTheme="majorHAnsi" w:hAnsiTheme="majorHAnsi"/>
              </w:rPr>
              <w:t xml:space="preserve"> hvordan man fører journal ved kompromisbehandling for bedst mulig egen</w:t>
            </w:r>
            <w:r>
              <w:rPr>
                <w:rFonts w:asciiTheme="majorHAnsi" w:hAnsiTheme="majorHAnsi"/>
              </w:rPr>
              <w:t xml:space="preserve"> </w:t>
            </w:r>
            <w:r w:rsidRPr="00DF14D4">
              <w:rPr>
                <w:rFonts w:asciiTheme="majorHAnsi" w:hAnsiTheme="majorHAnsi"/>
              </w:rPr>
              <w:t>beskyttelse</w:t>
            </w:r>
          </w:p>
        </w:tc>
      </w:tr>
      <w:tr w:rsidR="000A7E06" w:rsidRPr="000F0F67" w:rsidTr="000F0F67">
        <w:tc>
          <w:tcPr>
            <w:tcW w:w="675" w:type="dxa"/>
            <w:vMerge w:val="restart"/>
          </w:tcPr>
          <w:p w:rsidR="000A7E06" w:rsidRPr="000512DC" w:rsidRDefault="000A7E06" w:rsidP="000A7E06">
            <w:pPr>
              <w:jc w:val="center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3</w:t>
            </w:r>
          </w:p>
        </w:tc>
        <w:tc>
          <w:tcPr>
            <w:tcW w:w="993" w:type="dxa"/>
          </w:tcPr>
          <w:p w:rsidR="000A7E06" w:rsidRPr="000512DC" w:rsidRDefault="000A7E06" w:rsidP="000A7E06">
            <w:pPr>
              <w:jc w:val="center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9.00</w:t>
            </w:r>
          </w:p>
        </w:tc>
        <w:tc>
          <w:tcPr>
            <w:tcW w:w="2976" w:type="dxa"/>
          </w:tcPr>
          <w:p w:rsidR="000A7E06" w:rsidRPr="000512DC" w:rsidRDefault="00DF14D4" w:rsidP="000A7E06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Etiske overvejelser i behandlingsplanlægningen – omsorgssvigt eller magtmisbrug</w:t>
            </w:r>
          </w:p>
        </w:tc>
        <w:tc>
          <w:tcPr>
            <w:tcW w:w="2127" w:type="dxa"/>
          </w:tcPr>
          <w:p w:rsidR="000A7E06" w:rsidRPr="000512DC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A7E06" w:rsidRPr="000512DC" w:rsidRDefault="000512DC" w:rsidP="000A7E06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Deltagerne gives indsigt i de etiske overvejelser man som behandler må gøre sig mellem den optimalt set bedste behandling og borgerens kooperationsmuligheder / kooperationsvilje i forbindelse med gennemførelse af en sådan behandling.</w:t>
            </w:r>
          </w:p>
        </w:tc>
      </w:tr>
      <w:tr w:rsidR="000512DC" w:rsidRPr="000F0F67" w:rsidTr="000F0F67">
        <w:tc>
          <w:tcPr>
            <w:tcW w:w="675" w:type="dxa"/>
            <w:vMerge/>
          </w:tcPr>
          <w:p w:rsidR="000512DC" w:rsidRPr="000512DC" w:rsidRDefault="000512DC" w:rsidP="000A7E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:rsidR="000512DC" w:rsidRPr="000512DC" w:rsidRDefault="000512DC" w:rsidP="000A7E06">
            <w:pPr>
              <w:jc w:val="center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11.00</w:t>
            </w:r>
          </w:p>
        </w:tc>
        <w:tc>
          <w:tcPr>
            <w:tcW w:w="2976" w:type="dxa"/>
          </w:tcPr>
          <w:p w:rsidR="000512DC" w:rsidRPr="000512DC" w:rsidRDefault="000512DC" w:rsidP="000A7E06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Fra forsorg til omsorg til? – den historiske udvikling og fremtidsperspektivet</w:t>
            </w:r>
          </w:p>
        </w:tc>
        <w:tc>
          <w:tcPr>
            <w:tcW w:w="2127" w:type="dxa"/>
          </w:tcPr>
          <w:p w:rsidR="000512DC" w:rsidRPr="000512DC" w:rsidRDefault="000512DC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512DC" w:rsidRPr="000512DC" w:rsidRDefault="000512DC" w:rsidP="000A7E06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Deltagerne får sat et historisk perspektiv på udviklingen inden for pleje og omsorg af ældre såvel som udviklingshæmmede og psykisk syge medborgere herunder ændringer i det grundlæggende menneskesyn, der har ført fra forsorg til omsorg og videre til?</w:t>
            </w: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512DC" w:rsidRDefault="000A7E06" w:rsidP="000A7E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:rsidR="000A7E06" w:rsidRPr="000512DC" w:rsidRDefault="0070435C" w:rsidP="000A7E0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0A7E06" w:rsidRPr="000512DC">
              <w:rPr>
                <w:rFonts w:ascii="Cambria" w:hAnsi="Cambria"/>
              </w:rPr>
              <w:t>.00</w:t>
            </w:r>
          </w:p>
        </w:tc>
        <w:tc>
          <w:tcPr>
            <w:tcW w:w="2976" w:type="dxa"/>
          </w:tcPr>
          <w:p w:rsidR="000A7E06" w:rsidRPr="000512DC" w:rsidRDefault="000A7E06" w:rsidP="000A7E06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Frokost</w:t>
            </w:r>
          </w:p>
        </w:tc>
        <w:tc>
          <w:tcPr>
            <w:tcW w:w="2127" w:type="dxa"/>
          </w:tcPr>
          <w:p w:rsidR="000A7E06" w:rsidRPr="000512DC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A7E06" w:rsidRPr="000512DC" w:rsidRDefault="000A7E06" w:rsidP="000A7E06">
            <w:pPr>
              <w:rPr>
                <w:rFonts w:ascii="Cambria" w:hAnsi="Cambria"/>
              </w:rPr>
            </w:pP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512DC" w:rsidRDefault="000A7E06" w:rsidP="000A7E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:rsidR="000A7E06" w:rsidRPr="000512DC" w:rsidRDefault="0070435C" w:rsidP="000A7E0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  <w:r w:rsidR="000A7E06" w:rsidRPr="000512DC">
              <w:rPr>
                <w:rFonts w:ascii="Cambria" w:hAnsi="Cambria"/>
              </w:rPr>
              <w:t>00</w:t>
            </w:r>
            <w:r>
              <w:rPr>
                <w:rFonts w:ascii="Cambria" w:hAnsi="Cambria"/>
              </w:rPr>
              <w:t>-15.30</w:t>
            </w:r>
          </w:p>
        </w:tc>
        <w:tc>
          <w:tcPr>
            <w:tcW w:w="2976" w:type="dxa"/>
          </w:tcPr>
          <w:p w:rsidR="000A7E06" w:rsidRPr="000512DC" w:rsidRDefault="000512DC" w:rsidP="000A7E06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Brugernes perspektiv – gode råd til behandlerne i sundhedssektoren</w:t>
            </w:r>
          </w:p>
        </w:tc>
        <w:tc>
          <w:tcPr>
            <w:tcW w:w="2127" w:type="dxa"/>
          </w:tcPr>
          <w:p w:rsidR="000A7E06" w:rsidRPr="000512DC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70435C" w:rsidRPr="000512DC" w:rsidRDefault="000512DC" w:rsidP="000512DC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Deltagerne får en viden om brugernes og de pårørendes forventninger til den indsats samfundet tilbyder de ældre medborgere, de udvi</w:t>
            </w:r>
            <w:r w:rsidR="0070435C">
              <w:rPr>
                <w:rFonts w:ascii="Cambria" w:hAnsi="Cambria"/>
              </w:rPr>
              <w:t>klingshæmmede og de psykisk syge.</w:t>
            </w:r>
          </w:p>
        </w:tc>
      </w:tr>
      <w:tr w:rsidR="000A7E06" w:rsidRPr="000F0F67" w:rsidTr="000F0F67">
        <w:tc>
          <w:tcPr>
            <w:tcW w:w="675" w:type="dxa"/>
          </w:tcPr>
          <w:p w:rsidR="000A7E06" w:rsidRPr="000512DC" w:rsidRDefault="000A7E06" w:rsidP="000A7E06">
            <w:pPr>
              <w:jc w:val="center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4</w:t>
            </w:r>
          </w:p>
        </w:tc>
        <w:tc>
          <w:tcPr>
            <w:tcW w:w="993" w:type="dxa"/>
          </w:tcPr>
          <w:p w:rsidR="000A7E06" w:rsidRPr="000512DC" w:rsidRDefault="000A7E06" w:rsidP="000A7E06">
            <w:pPr>
              <w:jc w:val="center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09.00</w:t>
            </w:r>
          </w:p>
        </w:tc>
        <w:tc>
          <w:tcPr>
            <w:tcW w:w="2976" w:type="dxa"/>
          </w:tcPr>
          <w:p w:rsidR="000A7E06" w:rsidRPr="000512DC" w:rsidRDefault="000512DC" w:rsidP="000A7E06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Når tandlægen møder den kroniske smertepatient</w:t>
            </w:r>
          </w:p>
        </w:tc>
        <w:tc>
          <w:tcPr>
            <w:tcW w:w="2127" w:type="dxa"/>
          </w:tcPr>
          <w:p w:rsidR="000A7E06" w:rsidRPr="000512DC" w:rsidRDefault="000A7E06" w:rsidP="000A7E06">
            <w:pPr>
              <w:rPr>
                <w:rFonts w:ascii="Cambria" w:hAnsi="Cambria"/>
              </w:rPr>
            </w:pPr>
          </w:p>
        </w:tc>
        <w:tc>
          <w:tcPr>
            <w:tcW w:w="7512" w:type="dxa"/>
          </w:tcPr>
          <w:p w:rsidR="000A7E06" w:rsidRPr="000512DC" w:rsidRDefault="000512DC" w:rsidP="000512DC">
            <w:pPr>
              <w:spacing w:line="253" w:lineRule="atLeast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Underviseren deler gennem patientcases sine erfaringer om odontologiske aspekter ved kroniske belastningslidelser og kroniske smertepatienter. Muligheder og opmærksomhedspunkter</w:t>
            </w:r>
            <w:r>
              <w:rPr>
                <w:rFonts w:ascii="Cambria" w:hAnsi="Cambria"/>
              </w:rPr>
              <w:t>.</w:t>
            </w:r>
          </w:p>
        </w:tc>
      </w:tr>
      <w:tr w:rsidR="000A7E06" w:rsidRPr="000F0F67" w:rsidTr="000F0F67">
        <w:tc>
          <w:tcPr>
            <w:tcW w:w="675" w:type="dxa"/>
            <w:vMerge w:val="restart"/>
          </w:tcPr>
          <w:p w:rsidR="000A7E06" w:rsidRPr="000512DC" w:rsidRDefault="000A7E06" w:rsidP="000A7E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</w:tcPr>
          <w:p w:rsidR="000A7E06" w:rsidRPr="000512DC" w:rsidRDefault="000512DC" w:rsidP="000A7E06">
            <w:pPr>
              <w:jc w:val="center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10.30</w:t>
            </w:r>
          </w:p>
        </w:tc>
        <w:tc>
          <w:tcPr>
            <w:tcW w:w="2976" w:type="dxa"/>
          </w:tcPr>
          <w:p w:rsidR="000A7E06" w:rsidRPr="000512DC" w:rsidRDefault="000512DC" w:rsidP="000512DC">
            <w:pPr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Kommunernes forskellighed.</w:t>
            </w:r>
          </w:p>
        </w:tc>
        <w:tc>
          <w:tcPr>
            <w:tcW w:w="2127" w:type="dxa"/>
          </w:tcPr>
          <w:p w:rsidR="000A7E06" w:rsidRPr="000512DC" w:rsidRDefault="000A7E06" w:rsidP="000A7E06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7512" w:type="dxa"/>
          </w:tcPr>
          <w:p w:rsidR="000512DC" w:rsidRPr="000512DC" w:rsidRDefault="000512DC" w:rsidP="000512DC">
            <w:pPr>
              <w:spacing w:line="253" w:lineRule="atLeast"/>
              <w:rPr>
                <w:rFonts w:ascii="Cambria" w:hAnsi="Cambria"/>
              </w:rPr>
            </w:pPr>
            <w:r w:rsidRPr="000512DC">
              <w:rPr>
                <w:rFonts w:ascii="Cambria" w:hAnsi="Cambria"/>
              </w:rPr>
              <w:t>Diskussion med gruppen af forskellige organiseringer og tolkninger på reglerne om omsorgs, special og socialtandpleje</w:t>
            </w:r>
            <w:r>
              <w:rPr>
                <w:rFonts w:ascii="Cambria" w:hAnsi="Cambria"/>
              </w:rPr>
              <w:t>.</w:t>
            </w: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2976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</w:tr>
      <w:tr w:rsidR="000A7E06" w:rsidRPr="000F0F67" w:rsidTr="000F0F67">
        <w:tc>
          <w:tcPr>
            <w:tcW w:w="675" w:type="dxa"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70435C" w:rsidRPr="000F0F67" w:rsidRDefault="000A7E06" w:rsidP="007043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</w:t>
            </w:r>
          </w:p>
        </w:tc>
        <w:tc>
          <w:tcPr>
            <w:tcW w:w="2976" w:type="dxa"/>
          </w:tcPr>
          <w:p w:rsidR="000A7E06" w:rsidRPr="0070435C" w:rsidRDefault="000A7E06" w:rsidP="000A7E06">
            <w:pPr>
              <w:rPr>
                <w:rFonts w:asciiTheme="majorHAnsi" w:hAnsiTheme="majorHAnsi"/>
              </w:rPr>
            </w:pPr>
            <w:r w:rsidRPr="0070435C">
              <w:rPr>
                <w:rFonts w:asciiTheme="majorHAnsi" w:hAnsiTheme="majorHAnsi"/>
              </w:rPr>
              <w:t>Evalu</w:t>
            </w:r>
            <w:r w:rsidR="000512DC" w:rsidRPr="0070435C">
              <w:rPr>
                <w:rFonts w:asciiTheme="majorHAnsi" w:hAnsiTheme="majorHAnsi"/>
              </w:rPr>
              <w:t>e</w:t>
            </w:r>
            <w:r w:rsidRPr="0070435C">
              <w:rPr>
                <w:rFonts w:asciiTheme="majorHAnsi" w:hAnsiTheme="majorHAnsi"/>
              </w:rPr>
              <w:t xml:space="preserve">ring af de tre moduler </w:t>
            </w:r>
          </w:p>
        </w:tc>
        <w:tc>
          <w:tcPr>
            <w:tcW w:w="2127" w:type="dxa"/>
          </w:tcPr>
          <w:p w:rsidR="000A7E06" w:rsidRPr="0070435C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0A7E06" w:rsidRPr="0070435C" w:rsidRDefault="000A7E06" w:rsidP="000A7E06">
            <w:pPr>
              <w:rPr>
                <w:rFonts w:asciiTheme="majorHAnsi" w:hAnsiTheme="majorHAnsi"/>
              </w:rPr>
            </w:pPr>
            <w:r w:rsidRPr="0070435C">
              <w:rPr>
                <w:rFonts w:asciiTheme="majorHAnsi" w:hAnsiTheme="majorHAnsi"/>
              </w:rPr>
              <w:t xml:space="preserve">Mundtligt og skriftligt </w:t>
            </w:r>
          </w:p>
        </w:tc>
      </w:tr>
      <w:tr w:rsidR="0070435C" w:rsidRPr="000F0F67" w:rsidTr="000F0F67">
        <w:tc>
          <w:tcPr>
            <w:tcW w:w="675" w:type="dxa"/>
          </w:tcPr>
          <w:p w:rsidR="0070435C" w:rsidRPr="000F0F67" w:rsidRDefault="0070435C" w:rsidP="000A7E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70435C" w:rsidRDefault="0070435C" w:rsidP="007043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14.00-16.00 </w:t>
            </w:r>
          </w:p>
        </w:tc>
        <w:tc>
          <w:tcPr>
            <w:tcW w:w="2976" w:type="dxa"/>
          </w:tcPr>
          <w:p w:rsidR="0070435C" w:rsidRPr="0070435C" w:rsidRDefault="0070435C" w:rsidP="000A7E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Fremlæggelser af opgaver </w:t>
            </w:r>
          </w:p>
        </w:tc>
        <w:tc>
          <w:tcPr>
            <w:tcW w:w="2127" w:type="dxa"/>
          </w:tcPr>
          <w:p w:rsidR="0070435C" w:rsidRPr="0070435C" w:rsidRDefault="0070435C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</w:tcPr>
          <w:p w:rsidR="0070435C" w:rsidRPr="0070435C" w:rsidRDefault="0070435C" w:rsidP="000A7E06">
            <w:pPr>
              <w:rPr>
                <w:rFonts w:asciiTheme="majorHAnsi" w:hAnsiTheme="majorHAnsi"/>
              </w:rPr>
            </w:pPr>
          </w:p>
        </w:tc>
      </w:tr>
      <w:tr w:rsidR="000A7E06" w:rsidRPr="000F0F67" w:rsidTr="000F0F67">
        <w:tc>
          <w:tcPr>
            <w:tcW w:w="675" w:type="dxa"/>
            <w:vMerge w:val="restart"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5</w:t>
            </w:r>
          </w:p>
        </w:tc>
        <w:tc>
          <w:tcPr>
            <w:tcW w:w="993" w:type="dxa"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9.00</w:t>
            </w:r>
          </w:p>
        </w:tc>
        <w:tc>
          <w:tcPr>
            <w:tcW w:w="2976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Opgave – forelæggelse</w:t>
            </w:r>
          </w:p>
        </w:tc>
        <w:tc>
          <w:tcPr>
            <w:tcW w:w="2127" w:type="dxa"/>
            <w:vMerge w:val="restart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  <w:vMerge w:val="restart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12.00</w:t>
            </w:r>
          </w:p>
        </w:tc>
        <w:tc>
          <w:tcPr>
            <w:tcW w:w="2976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Frokost</w:t>
            </w:r>
          </w:p>
        </w:tc>
        <w:tc>
          <w:tcPr>
            <w:tcW w:w="2127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13.00</w:t>
            </w:r>
          </w:p>
        </w:tc>
        <w:tc>
          <w:tcPr>
            <w:tcW w:w="2976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Opgave – forelæggelse fortsat</w:t>
            </w:r>
          </w:p>
        </w:tc>
        <w:tc>
          <w:tcPr>
            <w:tcW w:w="2127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</w:tr>
      <w:tr w:rsidR="000A7E06" w:rsidRPr="000F0F67" w:rsidTr="000F0F67">
        <w:tc>
          <w:tcPr>
            <w:tcW w:w="675" w:type="dxa"/>
            <w:vMerge/>
          </w:tcPr>
          <w:p w:rsidR="000A7E06" w:rsidRPr="000F0F67" w:rsidRDefault="000A7E06" w:rsidP="000A7E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0A7E06" w:rsidRPr="000F0F67" w:rsidRDefault="0070435C" w:rsidP="000A7E0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16.3</w:t>
            </w:r>
            <w:r w:rsidR="000A7E06" w:rsidRPr="000F0F67">
              <w:rPr>
                <w:rFonts w:asciiTheme="majorHAnsi" w:hAnsiTheme="majorHAnsi"/>
              </w:rPr>
              <w:t>0</w:t>
            </w:r>
          </w:p>
        </w:tc>
        <w:tc>
          <w:tcPr>
            <w:tcW w:w="2976" w:type="dxa"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  <w:r w:rsidRPr="000F0F67">
              <w:rPr>
                <w:rFonts w:asciiTheme="majorHAnsi" w:hAnsiTheme="majorHAnsi"/>
              </w:rPr>
              <w:t>Diplomoverrækkelse m.v.</w:t>
            </w:r>
          </w:p>
        </w:tc>
        <w:tc>
          <w:tcPr>
            <w:tcW w:w="2127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  <w:tc>
          <w:tcPr>
            <w:tcW w:w="7512" w:type="dxa"/>
            <w:vMerge/>
          </w:tcPr>
          <w:p w:rsidR="000A7E06" w:rsidRPr="000F0F67" w:rsidRDefault="000A7E06" w:rsidP="000A7E06">
            <w:pPr>
              <w:rPr>
                <w:rFonts w:asciiTheme="majorHAnsi" w:hAnsiTheme="majorHAnsi"/>
              </w:rPr>
            </w:pPr>
          </w:p>
        </w:tc>
      </w:tr>
    </w:tbl>
    <w:p w:rsidR="005017EA" w:rsidRPr="000F0F67" w:rsidRDefault="005017EA" w:rsidP="005017EA">
      <w:pPr>
        <w:rPr>
          <w:rFonts w:asciiTheme="majorHAnsi" w:hAnsiTheme="majorHAnsi"/>
        </w:rPr>
      </w:pPr>
    </w:p>
    <w:p w:rsidR="00865C8A" w:rsidRPr="000F0F67" w:rsidRDefault="006B3DE4">
      <w:pPr>
        <w:rPr>
          <w:rFonts w:asciiTheme="majorHAnsi" w:hAnsiTheme="majorHAnsi"/>
        </w:rPr>
      </w:pPr>
      <w:r>
        <w:rPr>
          <w:rFonts w:asciiTheme="majorHAnsi" w:hAnsiTheme="majorHAnsi"/>
        </w:rPr>
        <w:t>Opdateret 1</w:t>
      </w:r>
      <w:r w:rsidR="000512DC">
        <w:rPr>
          <w:rFonts w:asciiTheme="majorHAnsi" w:hAnsiTheme="majorHAnsi"/>
        </w:rPr>
        <w:t>1</w:t>
      </w:r>
      <w:r>
        <w:rPr>
          <w:rFonts w:asciiTheme="majorHAnsi" w:hAnsiTheme="majorHAnsi"/>
        </w:rPr>
        <w:t>.01.2021</w:t>
      </w:r>
      <w:r w:rsidR="00341344">
        <w:rPr>
          <w:rFonts w:asciiTheme="majorHAnsi" w:hAnsiTheme="majorHAnsi"/>
        </w:rPr>
        <w:t>.</w:t>
      </w:r>
    </w:p>
    <w:sectPr w:rsidR="00865C8A" w:rsidRPr="000F0F67" w:rsidSect="00865C8A">
      <w:pgSz w:w="16838" w:h="11906" w:orient="landscape" w:code="9"/>
      <w:pgMar w:top="1134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210A2"/>
    <w:multiLevelType w:val="hybridMultilevel"/>
    <w:tmpl w:val="98D83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DF10A28"/>
    <w:multiLevelType w:val="hybridMultilevel"/>
    <w:tmpl w:val="9AFE9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F5444"/>
    <w:multiLevelType w:val="hybridMultilevel"/>
    <w:tmpl w:val="415242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17EA"/>
    <w:rsid w:val="0000752F"/>
    <w:rsid w:val="00011FBD"/>
    <w:rsid w:val="00032E8B"/>
    <w:rsid w:val="00033C5D"/>
    <w:rsid w:val="000374B6"/>
    <w:rsid w:val="000512DC"/>
    <w:rsid w:val="00070AA2"/>
    <w:rsid w:val="00074F60"/>
    <w:rsid w:val="0008426F"/>
    <w:rsid w:val="00084F87"/>
    <w:rsid w:val="000A0BFB"/>
    <w:rsid w:val="000A526B"/>
    <w:rsid w:val="000A7E06"/>
    <w:rsid w:val="000C04B2"/>
    <w:rsid w:val="000C789E"/>
    <w:rsid w:val="000D3AB0"/>
    <w:rsid w:val="000D7877"/>
    <w:rsid w:val="000E650A"/>
    <w:rsid w:val="000F0F67"/>
    <w:rsid w:val="000F72F8"/>
    <w:rsid w:val="00100FF1"/>
    <w:rsid w:val="00107399"/>
    <w:rsid w:val="0014016C"/>
    <w:rsid w:val="001426FF"/>
    <w:rsid w:val="001629F3"/>
    <w:rsid w:val="001B181C"/>
    <w:rsid w:val="001B2BAF"/>
    <w:rsid w:val="001B5685"/>
    <w:rsid w:val="001B715A"/>
    <w:rsid w:val="001C5856"/>
    <w:rsid w:val="001C651F"/>
    <w:rsid w:val="001D2E3D"/>
    <w:rsid w:val="001E578E"/>
    <w:rsid w:val="001F4C07"/>
    <w:rsid w:val="00223D23"/>
    <w:rsid w:val="00237B1C"/>
    <w:rsid w:val="00256E75"/>
    <w:rsid w:val="00263325"/>
    <w:rsid w:val="00277C1C"/>
    <w:rsid w:val="0028135D"/>
    <w:rsid w:val="00287D7E"/>
    <w:rsid w:val="00287E17"/>
    <w:rsid w:val="002A2145"/>
    <w:rsid w:val="002B3167"/>
    <w:rsid w:val="002C7933"/>
    <w:rsid w:val="002F5ED8"/>
    <w:rsid w:val="00302F4A"/>
    <w:rsid w:val="00317650"/>
    <w:rsid w:val="00317F30"/>
    <w:rsid w:val="003212AF"/>
    <w:rsid w:val="0033731F"/>
    <w:rsid w:val="00340BFC"/>
    <w:rsid w:val="00341344"/>
    <w:rsid w:val="00342B05"/>
    <w:rsid w:val="00366900"/>
    <w:rsid w:val="003773D4"/>
    <w:rsid w:val="003A3CC7"/>
    <w:rsid w:val="003A54DA"/>
    <w:rsid w:val="003B536B"/>
    <w:rsid w:val="003D507B"/>
    <w:rsid w:val="003E32BF"/>
    <w:rsid w:val="003E3677"/>
    <w:rsid w:val="004119C1"/>
    <w:rsid w:val="00434EA9"/>
    <w:rsid w:val="004851B6"/>
    <w:rsid w:val="004C3D5C"/>
    <w:rsid w:val="004C5C0A"/>
    <w:rsid w:val="004D13DD"/>
    <w:rsid w:val="004D55FD"/>
    <w:rsid w:val="004E087E"/>
    <w:rsid w:val="004E3D87"/>
    <w:rsid w:val="0050078C"/>
    <w:rsid w:val="005017EA"/>
    <w:rsid w:val="00516202"/>
    <w:rsid w:val="00517FDA"/>
    <w:rsid w:val="00521B89"/>
    <w:rsid w:val="00524BF4"/>
    <w:rsid w:val="0054060C"/>
    <w:rsid w:val="0056756F"/>
    <w:rsid w:val="00584D06"/>
    <w:rsid w:val="00587109"/>
    <w:rsid w:val="0059111E"/>
    <w:rsid w:val="005A0AB4"/>
    <w:rsid w:val="005A5E87"/>
    <w:rsid w:val="005B17D0"/>
    <w:rsid w:val="005B3151"/>
    <w:rsid w:val="005E4E4D"/>
    <w:rsid w:val="005E63CF"/>
    <w:rsid w:val="0062440B"/>
    <w:rsid w:val="00636EA2"/>
    <w:rsid w:val="00656577"/>
    <w:rsid w:val="006621DF"/>
    <w:rsid w:val="006647FE"/>
    <w:rsid w:val="00677E00"/>
    <w:rsid w:val="00684D21"/>
    <w:rsid w:val="00696FB8"/>
    <w:rsid w:val="006B14F2"/>
    <w:rsid w:val="006B1AFA"/>
    <w:rsid w:val="006B3DE4"/>
    <w:rsid w:val="006D0D80"/>
    <w:rsid w:val="006D4E8C"/>
    <w:rsid w:val="006F01CE"/>
    <w:rsid w:val="006F5699"/>
    <w:rsid w:val="006F678B"/>
    <w:rsid w:val="0070435C"/>
    <w:rsid w:val="00734B09"/>
    <w:rsid w:val="0075484C"/>
    <w:rsid w:val="00797F7D"/>
    <w:rsid w:val="007A62DC"/>
    <w:rsid w:val="007C539E"/>
    <w:rsid w:val="008223CA"/>
    <w:rsid w:val="00822F0D"/>
    <w:rsid w:val="00836810"/>
    <w:rsid w:val="008424FB"/>
    <w:rsid w:val="008476D5"/>
    <w:rsid w:val="008501CC"/>
    <w:rsid w:val="00865C8A"/>
    <w:rsid w:val="00893923"/>
    <w:rsid w:val="008C12FD"/>
    <w:rsid w:val="008C1ECA"/>
    <w:rsid w:val="008C6B4E"/>
    <w:rsid w:val="008E448B"/>
    <w:rsid w:val="008F2440"/>
    <w:rsid w:val="008F7D90"/>
    <w:rsid w:val="0090536C"/>
    <w:rsid w:val="00907BB4"/>
    <w:rsid w:val="009264F4"/>
    <w:rsid w:val="00935391"/>
    <w:rsid w:val="00943D73"/>
    <w:rsid w:val="00944423"/>
    <w:rsid w:val="0095550F"/>
    <w:rsid w:val="00977963"/>
    <w:rsid w:val="009C15BF"/>
    <w:rsid w:val="009D191B"/>
    <w:rsid w:val="009D7C9C"/>
    <w:rsid w:val="00A12015"/>
    <w:rsid w:val="00A31D91"/>
    <w:rsid w:val="00A5007B"/>
    <w:rsid w:val="00A5078E"/>
    <w:rsid w:val="00A61B3E"/>
    <w:rsid w:val="00A723C9"/>
    <w:rsid w:val="00A75AEB"/>
    <w:rsid w:val="00AA4E2A"/>
    <w:rsid w:val="00AB0DD6"/>
    <w:rsid w:val="00AB77F5"/>
    <w:rsid w:val="00AD5DFC"/>
    <w:rsid w:val="00AF16C5"/>
    <w:rsid w:val="00AF7E33"/>
    <w:rsid w:val="00B04524"/>
    <w:rsid w:val="00B162F6"/>
    <w:rsid w:val="00B45BF4"/>
    <w:rsid w:val="00B51F4F"/>
    <w:rsid w:val="00B66DE6"/>
    <w:rsid w:val="00B9623B"/>
    <w:rsid w:val="00BA5270"/>
    <w:rsid w:val="00BB18B8"/>
    <w:rsid w:val="00BC1BFB"/>
    <w:rsid w:val="00BD66B1"/>
    <w:rsid w:val="00BE7861"/>
    <w:rsid w:val="00BF23FE"/>
    <w:rsid w:val="00C0433D"/>
    <w:rsid w:val="00C06459"/>
    <w:rsid w:val="00C1180B"/>
    <w:rsid w:val="00C235D3"/>
    <w:rsid w:val="00C35606"/>
    <w:rsid w:val="00C36A5B"/>
    <w:rsid w:val="00C4710C"/>
    <w:rsid w:val="00C576E2"/>
    <w:rsid w:val="00C62522"/>
    <w:rsid w:val="00CA64DE"/>
    <w:rsid w:val="00CA7413"/>
    <w:rsid w:val="00CC3250"/>
    <w:rsid w:val="00CC39B3"/>
    <w:rsid w:val="00CD70C8"/>
    <w:rsid w:val="00CE046C"/>
    <w:rsid w:val="00CE4581"/>
    <w:rsid w:val="00CE4C9B"/>
    <w:rsid w:val="00D0060F"/>
    <w:rsid w:val="00D071BE"/>
    <w:rsid w:val="00D13818"/>
    <w:rsid w:val="00D160C7"/>
    <w:rsid w:val="00D217AB"/>
    <w:rsid w:val="00D2775C"/>
    <w:rsid w:val="00D65B18"/>
    <w:rsid w:val="00D66DC6"/>
    <w:rsid w:val="00D707D7"/>
    <w:rsid w:val="00D73067"/>
    <w:rsid w:val="00D94398"/>
    <w:rsid w:val="00DB4706"/>
    <w:rsid w:val="00DC34D9"/>
    <w:rsid w:val="00DD3B24"/>
    <w:rsid w:val="00DF14D4"/>
    <w:rsid w:val="00E00B14"/>
    <w:rsid w:val="00E052FD"/>
    <w:rsid w:val="00E101A6"/>
    <w:rsid w:val="00E25C9F"/>
    <w:rsid w:val="00E6460A"/>
    <w:rsid w:val="00E81386"/>
    <w:rsid w:val="00E90401"/>
    <w:rsid w:val="00E9431F"/>
    <w:rsid w:val="00EC212F"/>
    <w:rsid w:val="00F02EEE"/>
    <w:rsid w:val="00F177EE"/>
    <w:rsid w:val="00F222B6"/>
    <w:rsid w:val="00F228C5"/>
    <w:rsid w:val="00F257E3"/>
    <w:rsid w:val="00F335D4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9091"/>
  <w15:docId w15:val="{E4AC1188-A8D9-4B12-826F-84B272E2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0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017E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017E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32E8B"/>
    <w:rPr>
      <w:color w:val="800080" w:themeColor="followedHyperlink"/>
      <w:u w:val="single"/>
    </w:rPr>
  </w:style>
  <w:style w:type="character" w:customStyle="1" w:styleId="full-name">
    <w:name w:val="full-name"/>
    <w:basedOn w:val="Standardskrifttypeiafsnit"/>
    <w:rsid w:val="0034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5A7B295590E4FA618D64153CB6718" ma:contentTypeVersion="13" ma:contentTypeDescription="Opret et nyt dokument." ma:contentTypeScope="" ma:versionID="119fff1ba60ef108dd873b129a439a46">
  <xsd:schema xmlns:xsd="http://www.w3.org/2001/XMLSchema" xmlns:xs="http://www.w3.org/2001/XMLSchema" xmlns:p="http://schemas.microsoft.com/office/2006/metadata/properties" xmlns:ns2="91cfb106-2906-43f6-a006-554e962aa641" xmlns:ns3="d8757a87-e399-4521-a115-7a814b9df693" targetNamespace="http://schemas.microsoft.com/office/2006/metadata/properties" ma:root="true" ma:fieldsID="fdaf74491fe14d4da1eaf257383f4109" ns2:_="" ns3:_="">
    <xsd:import namespace="91cfb106-2906-43f6-a006-554e962aa641"/>
    <xsd:import namespace="d8757a87-e399-4521-a115-7a814b9d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b106-2906-43f6-a006-554e962aa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90ae7b3-03d9-4db8-8ac2-5060b377a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7a87-e399-4521-a115-7a814b9df6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31d-1b05-4202-9bbf-7f6240635751}" ma:internalName="TaxCatchAll" ma:showField="CatchAllData" ma:web="d8757a87-e399-4521-a115-7a814b9df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EF981-7455-44D3-9824-DC768577AEBD}"/>
</file>

<file path=customXml/itemProps2.xml><?xml version="1.0" encoding="utf-8"?>
<ds:datastoreItem xmlns:ds="http://schemas.openxmlformats.org/officeDocument/2006/customXml" ds:itemID="{F8993010-EABA-4301-8102-EA1ED1B05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2071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Tandlægernes Nye Landsforening</Company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Ann-Louise Madvig Sigfredsson</cp:lastModifiedBy>
  <cp:revision>9</cp:revision>
  <dcterms:created xsi:type="dcterms:W3CDTF">2020-12-15T11:16:00Z</dcterms:created>
  <dcterms:modified xsi:type="dcterms:W3CDTF">2021-01-27T13:50:00Z</dcterms:modified>
</cp:coreProperties>
</file>